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白塔小学教学楼、临街楼房楼顶防水维修改造工程</w:t>
      </w:r>
    </w:p>
    <w:p>
      <w:pPr>
        <w:jc w:val="center"/>
        <w:rPr>
          <w:rFonts w:hint="eastAsia" w:cs="宋体" w:asciiTheme="minorEastAsia" w:hAnsiTheme="minorEastAsia"/>
          <w:sz w:val="24"/>
          <w:lang w:eastAsia="zh-CN"/>
        </w:rPr>
      </w:pPr>
      <w:r>
        <w:rPr>
          <w:rFonts w:hint="eastAsia" w:ascii="黑体" w:hAnsi="黑体" w:eastAsia="黑体" w:cs="黑体"/>
          <w:b/>
          <w:bCs/>
          <w:sz w:val="32"/>
          <w:szCs w:val="32"/>
        </w:rPr>
        <w:t>编制说明</w:t>
      </w:r>
    </w:p>
    <w:p>
      <w:pPr>
        <w:tabs>
          <w:tab w:val="left" w:pos="0"/>
          <w:tab w:val="left" w:pos="540"/>
        </w:tabs>
        <w:spacing w:line="360" w:lineRule="auto"/>
        <w:rPr>
          <w:rFonts w:cs="宋体" w:asciiTheme="minorEastAsia" w:hAnsiTheme="minorEastAsia"/>
          <w:b/>
          <w:sz w:val="24"/>
        </w:rPr>
      </w:pPr>
      <w:r>
        <w:rPr>
          <w:rFonts w:hint="eastAsia" w:cs="宋体" w:asciiTheme="minorEastAsia" w:hAnsiTheme="minorEastAsia"/>
          <w:b/>
          <w:sz w:val="24"/>
          <w:lang w:val="en-US" w:eastAsia="zh-CN"/>
        </w:rPr>
        <w:t>一</w:t>
      </w:r>
      <w:r>
        <w:rPr>
          <w:rFonts w:hint="eastAsia" w:cs="宋体" w:asciiTheme="minorEastAsia" w:hAnsiTheme="minorEastAsia"/>
          <w:b/>
          <w:sz w:val="24"/>
        </w:rPr>
        <w:t>、编制依据</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1、《建设工程工程量清单计价规范》GB50500-2013；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2、《江苏省建筑与装饰工程计价定额》2014版；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3、《江苏省安装工程计价定额》2014版；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4、《江苏省2014机械台班定额》；</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5、《房屋建筑与装饰工程工程量计算规范》GB50854-2013；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6、《通用安装工程工程量计算规范》GB50856-2013；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7、《市政工程工程量计算规范》（GB50857-2013）；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8、《江苏省市政工程计价定额》（2014年）；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9、《园林绿化工程工程量计算规范》（GB50858-2013）；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cs="宋体" w:asciiTheme="minorEastAsia" w:hAnsiTheme="minorEastAsia"/>
          <w:color w:val="000000" w:themeColor="text1"/>
          <w:sz w:val="24"/>
        </w:rPr>
        <w:t>0</w:t>
      </w:r>
      <w:r>
        <w:rPr>
          <w:rFonts w:hint="eastAsia" w:cs="宋体" w:asciiTheme="minorEastAsia" w:hAnsiTheme="minorEastAsia"/>
          <w:color w:val="000000" w:themeColor="text1"/>
          <w:sz w:val="24"/>
        </w:rPr>
        <w:t>、《江苏省仿古建筑与园林工程计价表》（2007江苏省园林定额）；</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11</w:t>
      </w:r>
      <w:r>
        <w:rPr>
          <w:rFonts w:hint="eastAsia" w:cs="宋体" w:asciiTheme="minorEastAsia" w:hAnsiTheme="minorEastAsia"/>
          <w:color w:val="000000" w:themeColor="text1"/>
          <w:sz w:val="24"/>
        </w:rPr>
        <w:t>、《江苏省建设工程费用定额》（</w:t>
      </w:r>
      <w:r>
        <w:rPr>
          <w:rFonts w:cs="宋体" w:asciiTheme="minorEastAsia" w:hAnsiTheme="minorEastAsia"/>
          <w:color w:val="000000" w:themeColor="text1"/>
          <w:sz w:val="24"/>
        </w:rPr>
        <w:t>20</w:t>
      </w:r>
      <w:r>
        <w:rPr>
          <w:rFonts w:hint="eastAsia" w:cs="宋体" w:asciiTheme="minorEastAsia" w:hAnsiTheme="minorEastAsia"/>
          <w:color w:val="000000" w:themeColor="text1"/>
          <w:sz w:val="24"/>
        </w:rPr>
        <w:t>14版)；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12</w:t>
      </w:r>
      <w:r>
        <w:rPr>
          <w:rFonts w:hint="eastAsia" w:cs="宋体" w:asciiTheme="minorEastAsia" w:hAnsiTheme="minorEastAsia"/>
          <w:color w:val="000000" w:themeColor="text1"/>
          <w:sz w:val="24"/>
        </w:rPr>
        <w:t>、苏建价[2014]448号、苏建价〔2016〕154号、常建〔2016〕94号、常建(2014)279号、常建2017（103）、常建[2018]26号、苏建函价[2019]178号文、常建[2019]1号文等现行计价文件及规定；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13</w:t>
      </w:r>
      <w:r>
        <w:rPr>
          <w:rFonts w:hint="eastAsia" w:cs="宋体" w:asciiTheme="minorEastAsia" w:hAnsiTheme="minorEastAsia"/>
          <w:color w:val="000000" w:themeColor="text1"/>
          <w:sz w:val="24"/>
        </w:rPr>
        <w:t>、委托方提供的设计图纸、审图回复意见及图纸问题回复汇总</w:t>
      </w:r>
      <w:r>
        <w:rPr>
          <w:rFonts w:hint="eastAsia" w:cs="宋体" w:asciiTheme="minorEastAsia" w:hAnsiTheme="minorEastAsia"/>
          <w:color w:val="000000" w:themeColor="text1"/>
          <w:sz w:val="24"/>
          <w:lang w:val="en-US" w:eastAsia="zh-CN"/>
        </w:rPr>
        <w:t>等文件</w:t>
      </w:r>
      <w:r>
        <w:rPr>
          <w:rFonts w:hint="eastAsia" w:cs="宋体" w:asciiTheme="minorEastAsia" w:hAnsiTheme="minorEastAsia"/>
          <w:color w:val="000000" w:themeColor="text1"/>
          <w:sz w:val="24"/>
        </w:rPr>
        <w:t>；</w:t>
      </w:r>
    </w:p>
    <w:p>
      <w:pPr>
        <w:tabs>
          <w:tab w:val="left" w:pos="0"/>
          <w:tab w:val="left" w:pos="540"/>
        </w:tabs>
        <w:spacing w:line="360" w:lineRule="auto"/>
        <w:rPr>
          <w:rFonts w:cs="宋体" w:asciiTheme="minorEastAsia" w:hAnsiTheme="minorEastAsia"/>
          <w:b/>
          <w:sz w:val="24"/>
        </w:rPr>
      </w:pPr>
      <w:r>
        <w:rPr>
          <w:rFonts w:hint="eastAsia" w:cs="宋体" w:asciiTheme="minorEastAsia" w:hAnsiTheme="minorEastAsia"/>
          <w:b/>
          <w:sz w:val="24"/>
          <w:lang w:val="en-US" w:eastAsia="zh-CN"/>
        </w:rPr>
        <w:t>二</w:t>
      </w:r>
      <w:r>
        <w:rPr>
          <w:rFonts w:hint="eastAsia" w:cs="宋体" w:asciiTheme="minorEastAsia" w:hAnsiTheme="minorEastAsia"/>
          <w:b/>
          <w:sz w:val="24"/>
        </w:rPr>
        <w:t>、编制范围</w:t>
      </w:r>
    </w:p>
    <w:p>
      <w:pPr>
        <w:spacing w:line="360" w:lineRule="auto"/>
        <w:ind w:firstLine="480" w:firstLineChars="200"/>
        <w:rPr>
          <w:rFonts w:asciiTheme="minorEastAsia" w:hAnsiTheme="minorEastAsia"/>
          <w:sz w:val="24"/>
        </w:rPr>
      </w:pPr>
      <w:r>
        <w:rPr>
          <w:rFonts w:hint="eastAsia" w:asciiTheme="minorEastAsia" w:hAnsiTheme="minorEastAsia"/>
          <w:sz w:val="24"/>
        </w:rPr>
        <w:t>工程量清单范围内的全部工程</w:t>
      </w:r>
      <w:r>
        <w:rPr>
          <w:rFonts w:hint="eastAsia" w:asciiTheme="minorEastAsia" w:hAnsiTheme="minorEastAsia"/>
          <w:sz w:val="24"/>
          <w:lang w:eastAsia="zh-CN"/>
        </w:rPr>
        <w:t>。</w:t>
      </w:r>
    </w:p>
    <w:p>
      <w:pPr>
        <w:tabs>
          <w:tab w:val="left" w:pos="0"/>
          <w:tab w:val="left" w:pos="540"/>
        </w:tabs>
        <w:spacing w:line="360" w:lineRule="auto"/>
        <w:rPr>
          <w:rFonts w:cs="宋体" w:asciiTheme="minorEastAsia" w:hAnsiTheme="minorEastAsia"/>
          <w:b/>
          <w:sz w:val="24"/>
        </w:rPr>
      </w:pPr>
      <w:r>
        <w:rPr>
          <w:rFonts w:hint="eastAsia" w:cs="宋体" w:asciiTheme="minorEastAsia" w:hAnsiTheme="minorEastAsia"/>
          <w:b/>
          <w:sz w:val="24"/>
          <w:lang w:val="en-US" w:eastAsia="zh-CN"/>
        </w:rPr>
        <w:t>三</w:t>
      </w:r>
      <w:r>
        <w:rPr>
          <w:rFonts w:hint="eastAsia" w:cs="宋体" w:asciiTheme="minorEastAsia" w:hAnsiTheme="minorEastAsia"/>
          <w:b/>
          <w:sz w:val="24"/>
        </w:rPr>
        <w:t>、编制说明</w:t>
      </w:r>
    </w:p>
    <w:p>
      <w:pPr>
        <w:tabs>
          <w:tab w:val="left" w:pos="0"/>
          <w:tab w:val="left" w:pos="540"/>
        </w:tabs>
        <w:spacing w:line="360" w:lineRule="auto"/>
        <w:rPr>
          <w:rFonts w:cs="宋体" w:asciiTheme="minorEastAsia" w:hAnsiTheme="minorEastAsia"/>
          <w:b/>
          <w:sz w:val="24"/>
        </w:rPr>
      </w:pPr>
      <w:r>
        <w:rPr>
          <w:rFonts w:hint="eastAsia" w:asciiTheme="minorEastAsia" w:hAnsiTheme="minorEastAsia"/>
          <w:b/>
          <w:bCs/>
          <w:sz w:val="24"/>
        </w:rPr>
        <w:t>（一）、通用编制说明</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color w:val="000000" w:themeColor="text1"/>
          <w:sz w:val="24"/>
        </w:rPr>
        <w:t>1.工程类别：</w:t>
      </w:r>
      <w:r>
        <w:rPr>
          <w:rFonts w:hint="eastAsia" w:cs="宋体" w:asciiTheme="minorEastAsia" w:hAnsiTheme="minorEastAsia"/>
          <w:sz w:val="24"/>
          <w:lang w:val="en-US" w:eastAsia="zh-CN"/>
        </w:rPr>
        <w:t>本工程按修缮</w:t>
      </w:r>
      <w:r>
        <w:rPr>
          <w:rFonts w:hint="eastAsia" w:cs="宋体" w:asciiTheme="minorEastAsia" w:hAnsiTheme="minorEastAsia"/>
          <w:sz w:val="24"/>
        </w:rPr>
        <w:t>工程取费；</w:t>
      </w:r>
      <w:r>
        <w:rPr>
          <w:rFonts w:cs="宋体" w:asciiTheme="minorEastAsia" w:hAnsiTheme="minorEastAsia"/>
          <w:sz w:val="24"/>
        </w:rPr>
        <w:t xml:space="preserve"> </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w:t>
      </w:r>
      <w:r>
        <w:rPr>
          <w:rFonts w:hint="eastAsia" w:cs="宋体" w:asciiTheme="minorEastAsia" w:hAnsiTheme="minorEastAsia"/>
          <w:color w:val="auto"/>
          <w:sz w:val="24"/>
        </w:rPr>
        <w:t>人工工资按苏建函价[202</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83</w:t>
      </w:r>
      <w:r>
        <w:rPr>
          <w:rFonts w:hint="eastAsia" w:cs="宋体" w:asciiTheme="minorEastAsia" w:hAnsiTheme="minorEastAsia"/>
          <w:color w:val="auto"/>
          <w:sz w:val="24"/>
        </w:rPr>
        <w:t>号文计取。</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3.材料价格：执行202</w:t>
      </w:r>
      <w:r>
        <w:rPr>
          <w:rFonts w:hint="eastAsia" w:cs="宋体" w:asciiTheme="minorEastAsia" w:hAnsiTheme="minorEastAsia"/>
          <w:color w:val="000000" w:themeColor="text1"/>
          <w:sz w:val="24"/>
          <w:lang w:val="en-US" w:eastAsia="zh-CN"/>
        </w:rPr>
        <w:t>4</w:t>
      </w:r>
      <w:r>
        <w:rPr>
          <w:rFonts w:hint="eastAsia" w:cs="宋体" w:asciiTheme="minorEastAsia" w:hAnsiTheme="minorEastAsia"/>
          <w:color w:val="000000" w:themeColor="text1"/>
          <w:sz w:val="24"/>
        </w:rPr>
        <w:t>年</w:t>
      </w:r>
      <w:r>
        <w:rPr>
          <w:rFonts w:hint="eastAsia" w:cs="宋体" w:asciiTheme="minorEastAsia" w:hAnsiTheme="minorEastAsia"/>
          <w:color w:val="000000" w:themeColor="text1"/>
          <w:sz w:val="24"/>
          <w:lang w:val="en-US" w:eastAsia="zh-CN"/>
        </w:rPr>
        <w:t>4</w:t>
      </w:r>
      <w:r>
        <w:rPr>
          <w:rFonts w:hint="eastAsia" w:cs="宋体" w:asciiTheme="minorEastAsia" w:hAnsiTheme="minorEastAsia"/>
          <w:color w:val="000000" w:themeColor="text1"/>
          <w:sz w:val="24"/>
        </w:rPr>
        <w:t>月《</w:t>
      </w:r>
      <w:bookmarkStart w:id="0" w:name="_GoBack"/>
      <w:bookmarkEnd w:id="0"/>
      <w:r>
        <w:rPr>
          <w:rFonts w:hint="eastAsia" w:cs="宋体" w:asciiTheme="minorEastAsia" w:hAnsiTheme="minorEastAsia"/>
          <w:color w:val="000000" w:themeColor="text1"/>
          <w:sz w:val="24"/>
        </w:rPr>
        <w:t>常州工程造价信息》中的建筑(或安装)材料除税价，本月未提供的逐月前推，信息价无提供价格的按市场价询价计入。</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4.凡本清单内容中明确的，按清单的要求编制投标报价；本清单未作说明的，按上述规范、文件和要求编制投标报价。</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w:t>
      </w:r>
      <w:r>
        <w:rPr>
          <w:rFonts w:cs="宋体" w:asciiTheme="minorEastAsia" w:hAnsiTheme="minorEastAsia"/>
          <w:color w:val="000000" w:themeColor="text1"/>
          <w:sz w:val="24"/>
        </w:rPr>
        <w:t>金额（价格）均应以人民币表示</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w:t>
      </w:r>
      <w:r>
        <w:rPr>
          <w:rFonts w:cs="宋体" w:asciiTheme="minorEastAsia" w:hAnsiTheme="minorEastAsia"/>
          <w:color w:val="000000" w:themeColor="text1"/>
          <w:sz w:val="24"/>
        </w:rPr>
        <w:t>工程量清单及其计价格式中的任何内容不得随意删除或涂改</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7.</w:t>
      </w:r>
      <w:r>
        <w:rPr>
          <w:rFonts w:cs="宋体" w:asciiTheme="minorEastAsia" w:hAnsiTheme="minorEastAsia"/>
          <w:color w:val="000000" w:themeColor="text1"/>
          <w:sz w:val="24"/>
        </w:rPr>
        <w:t>工程量清单计价格式中列明的所有需要填报的单价和合价，投标人均应填报，未填报的单价和合价，视为此项费用已包含在工程量清单的其他单价和合价中</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highlight w:val="none"/>
        </w:rPr>
      </w:pPr>
      <w:r>
        <w:rPr>
          <w:rFonts w:hint="eastAsia" w:cs="宋体" w:asciiTheme="minorEastAsia" w:hAnsiTheme="minorEastAsia"/>
          <w:color w:val="000000" w:themeColor="text1"/>
          <w:sz w:val="24"/>
          <w:lang w:val="en-US" w:eastAsia="zh-CN"/>
        </w:rPr>
        <w:t>8</w:t>
      </w:r>
      <w:r>
        <w:rPr>
          <w:rFonts w:hint="eastAsia" w:cs="宋体" w:asciiTheme="minorEastAsia" w:hAnsiTheme="minorEastAsia"/>
          <w:color w:val="000000" w:themeColor="text1"/>
          <w:sz w:val="24"/>
        </w:rPr>
        <w:t>.措施项目清单中的现场安全文明施工费为不可竞争费，</w:t>
      </w:r>
      <w:r>
        <w:rPr>
          <w:rFonts w:hint="eastAsia" w:cs="宋体" w:asciiTheme="minorEastAsia" w:hAnsiTheme="minorEastAsia"/>
          <w:color w:val="000000" w:themeColor="text1"/>
          <w:sz w:val="24"/>
          <w:highlight w:val="none"/>
        </w:rPr>
        <w:t>含基本费、扬尘污染防治增加费，投标报价时按清单表中的费率计取不得调整。</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9</w:t>
      </w:r>
      <w:r>
        <w:rPr>
          <w:rFonts w:hint="eastAsia" w:cs="宋体" w:asciiTheme="minorEastAsia" w:hAnsiTheme="minorEastAsia"/>
          <w:color w:val="000000" w:themeColor="text1"/>
          <w:sz w:val="24"/>
        </w:rPr>
        <w:t>.根据项目特点，本工程在单位工程的其他项目清单中设置了暂列金额项目，为不可竞争费，投标报价时不得调整。</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0</w:t>
      </w:r>
      <w:r>
        <w:rPr>
          <w:rFonts w:hint="eastAsia" w:cs="宋体" w:asciiTheme="minorEastAsia" w:hAnsiTheme="minorEastAsia"/>
          <w:color w:val="000000" w:themeColor="text1"/>
          <w:sz w:val="24"/>
        </w:rPr>
        <w:t>.规费、税金项目清单中所列费用的费率均为不可竞争费率，投标报价时不得调整。</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1</w:t>
      </w:r>
      <w:r>
        <w:rPr>
          <w:rFonts w:hint="eastAsia" w:cs="宋体" w:asciiTheme="minorEastAsia" w:hAnsiTheme="minorEastAsia"/>
          <w:color w:val="000000" w:themeColor="text1"/>
          <w:sz w:val="24"/>
        </w:rPr>
        <w:t>.本工程施工所需水、电等由承包人负责，相关费用在投标报价中考虑。</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12</w:t>
      </w:r>
      <w:r>
        <w:rPr>
          <w:rFonts w:hint="eastAsia" w:cs="宋体" w:asciiTheme="minorEastAsia" w:hAnsiTheme="minorEastAsia"/>
          <w:color w:val="000000" w:themeColor="text1"/>
          <w:sz w:val="24"/>
        </w:rPr>
        <w:t>.本工程计税方法为一般计税。</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color w:val="000000" w:themeColor="text1"/>
          <w:sz w:val="24"/>
          <w:lang w:val="en-US" w:eastAsia="zh-CN"/>
        </w:rPr>
      </w:pPr>
      <w:r>
        <w:rPr>
          <w:rFonts w:hint="eastAsia" w:cs="宋体" w:asciiTheme="minorEastAsia" w:hAnsiTheme="minorEastAsia"/>
          <w:color w:val="000000" w:themeColor="text1"/>
          <w:sz w:val="24"/>
          <w:lang w:val="en-US" w:eastAsia="zh-CN"/>
        </w:rPr>
        <w:t>13.本工程无设计图纸，要求投标单位自行现场踏勘</w:t>
      </w:r>
      <w:r>
        <w:rPr>
          <w:rFonts w:hint="eastAsia" w:asciiTheme="minorEastAsia" w:hAnsiTheme="minorEastAsia"/>
          <w:sz w:val="24"/>
          <w:lang w:val="en-US" w:eastAsia="zh-CN"/>
        </w:rPr>
        <w:t>。</w:t>
      </w:r>
    </w:p>
    <w:p>
      <w:pPr>
        <w:spacing w:line="360" w:lineRule="auto"/>
        <w:rPr>
          <w:rFonts w:cs="Times New Roman" w:asciiTheme="minorEastAsia" w:hAnsiTheme="minorEastAsia"/>
          <w:b/>
          <w:bCs/>
          <w:kern w:val="0"/>
          <w:sz w:val="24"/>
        </w:rPr>
      </w:pP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二</w:t>
      </w: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修缮</w:t>
      </w:r>
      <w:r>
        <w:rPr>
          <w:rFonts w:hint="eastAsia" w:cs="Times New Roman" w:asciiTheme="minorEastAsia" w:hAnsiTheme="minorEastAsia"/>
          <w:b/>
          <w:bCs/>
          <w:kern w:val="0"/>
          <w:sz w:val="24"/>
        </w:rPr>
        <w:t>工程编制说明</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sz w:val="24"/>
        </w:rPr>
      </w:pPr>
      <w:r>
        <w:rPr>
          <w:rFonts w:hint="eastAsia" w:cs="宋体" w:asciiTheme="minorEastAsia" w:hAnsiTheme="minorEastAsia"/>
          <w:sz w:val="24"/>
        </w:rPr>
        <w:t>1、本工程施工过程中必须严格执行《常州市建筑施工扬尘控制实施细则》，</w:t>
      </w:r>
    </w:p>
    <w:p>
      <w:pPr>
        <w:keepNext w:val="0"/>
        <w:keepLines w:val="0"/>
        <w:pageBreakBefore w:val="0"/>
        <w:kinsoku/>
        <w:wordWrap/>
        <w:overflowPunct/>
        <w:topLinePunct w:val="0"/>
        <w:autoSpaceDE/>
        <w:autoSpaceDN/>
        <w:bidi w:val="0"/>
        <w:adjustRightInd/>
        <w:snapToGrid/>
        <w:spacing w:line="408" w:lineRule="auto"/>
        <w:textAlignment w:val="auto"/>
        <w:rPr>
          <w:rFonts w:cs="宋体" w:asciiTheme="minorEastAsia" w:hAnsiTheme="minorEastAsia"/>
          <w:sz w:val="24"/>
        </w:rPr>
      </w:pPr>
      <w:r>
        <w:rPr>
          <w:rFonts w:hint="eastAsia" w:cs="宋体" w:asciiTheme="minorEastAsia" w:hAnsiTheme="minorEastAsia"/>
          <w:sz w:val="24"/>
        </w:rPr>
        <w:t>文明施工费率中已经包含扬尘污染防治增加费，投标单位在投标报价中应综合考虑现场裸土覆盖、洒水降尘、雾炮降尘、出入口及材料堆放地场地硬化、作业车辆进出的冲洗、场内通道与场外道路出入口保洁及与环保要求相关的其他扬尘控制措施相关费用。</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3</w:t>
      </w:r>
      <w:r>
        <w:rPr>
          <w:rFonts w:hint="eastAsia" w:cs="宋体" w:asciiTheme="minorEastAsia" w:hAnsiTheme="minorEastAsia"/>
          <w:sz w:val="24"/>
        </w:rPr>
        <w:t>、</w:t>
      </w:r>
      <w:r>
        <w:rPr>
          <w:rFonts w:hint="eastAsia" w:cs="宋体" w:asciiTheme="minorEastAsia" w:hAnsiTheme="minorEastAsia"/>
          <w:sz w:val="24"/>
          <w:lang w:val="en-US" w:eastAsia="zh-CN"/>
        </w:rPr>
        <w:t xml:space="preserve">本工程所用砼均为预拌商品砼（无论清单项目特征是否注明砼拌和方式）， </w:t>
      </w:r>
    </w:p>
    <w:p>
      <w:pPr>
        <w:keepNext w:val="0"/>
        <w:keepLines w:val="0"/>
        <w:pageBreakBefore w:val="0"/>
        <w:kinsoku/>
        <w:wordWrap/>
        <w:overflowPunct/>
        <w:topLinePunct w:val="0"/>
        <w:autoSpaceDE/>
        <w:autoSpaceDN/>
        <w:bidi w:val="0"/>
        <w:adjustRightInd/>
        <w:snapToGrid/>
        <w:spacing w:line="408" w:lineRule="auto"/>
        <w:textAlignment w:val="auto"/>
        <w:rPr>
          <w:rFonts w:hint="eastAsia" w:cs="宋体" w:asciiTheme="minorEastAsia" w:hAnsiTheme="minorEastAsia"/>
          <w:sz w:val="24"/>
        </w:rPr>
      </w:pPr>
      <w:r>
        <w:rPr>
          <w:rFonts w:hint="eastAsia" w:cs="宋体" w:asciiTheme="minorEastAsia" w:hAnsiTheme="minorEastAsia"/>
          <w:sz w:val="24"/>
          <w:lang w:val="en-US" w:eastAsia="zh-CN"/>
        </w:rPr>
        <w:t xml:space="preserve">投标人应按此要求报价，预拌商品砼输送方式由投标人自行考虑，并含在相应的 </w:t>
      </w:r>
    </w:p>
    <w:p>
      <w:pPr>
        <w:keepNext w:val="0"/>
        <w:keepLines w:val="0"/>
        <w:pageBreakBefore w:val="0"/>
        <w:kinsoku/>
        <w:wordWrap/>
        <w:overflowPunct/>
        <w:topLinePunct w:val="0"/>
        <w:autoSpaceDE/>
        <w:autoSpaceDN/>
        <w:bidi w:val="0"/>
        <w:adjustRightInd/>
        <w:snapToGrid/>
        <w:spacing w:line="408" w:lineRule="auto"/>
        <w:textAlignment w:val="auto"/>
        <w:rPr>
          <w:rFonts w:hint="eastAsia" w:cs="宋体" w:asciiTheme="minorEastAsia" w:hAnsiTheme="minorEastAsia"/>
          <w:sz w:val="24"/>
        </w:rPr>
      </w:pPr>
      <w:r>
        <w:rPr>
          <w:rFonts w:hint="eastAsia" w:cs="宋体" w:asciiTheme="minorEastAsia" w:hAnsiTheme="minorEastAsia"/>
          <w:sz w:val="24"/>
          <w:lang w:val="en-US" w:eastAsia="zh-CN"/>
        </w:rPr>
        <w:t>投标综合单价内。</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4、本工程所用砂浆均为预拌商品砂浆（无论清单项目特征是否注明砂浆拌 和方式），投标人应按此要求报价，并含在相应的投标综合单价内。</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5</w:t>
      </w:r>
      <w:r>
        <w:rPr>
          <w:rFonts w:hint="eastAsia" w:cs="宋体" w:asciiTheme="minorEastAsia" w:hAnsiTheme="minorEastAsia"/>
          <w:sz w:val="24"/>
        </w:rPr>
        <w:t>、现场拆除工作，切忌野蛮、暴力破坏性拆除，应文明施工、保护性拆除。各类拆除的设备、材料的现场临时堆放、清理、运输以及部分设备材料搬迁等费用已包含在控制价中，投标人在投标报价时自行考虑。</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cs="宋体" w:asciiTheme="minorEastAsia" w:hAnsiTheme="minorEastAsia"/>
          <w:sz w:val="24"/>
          <w:lang w:val="en-US" w:eastAsia="zh-CN"/>
        </w:rPr>
        <w:t>6、</w:t>
      </w:r>
      <w:r>
        <w:rPr>
          <w:rFonts w:hint="eastAsia" w:ascii="宋体" w:hAnsi="宋体" w:cs="宋体"/>
          <w:sz w:val="24"/>
        </w:rPr>
        <w:t>施工期间如损坏、污染其校园设备、场地等设施必须按原样复原，不另行签证，价格不调整。</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kern w:val="0"/>
          <w:sz w:val="24"/>
        </w:rPr>
      </w:pPr>
      <w:r>
        <w:rPr>
          <w:rFonts w:hint="eastAsia" w:ascii="宋体" w:hAnsi="宋体" w:cs="宋体"/>
          <w:sz w:val="24"/>
          <w:lang w:val="en-US" w:eastAsia="zh-CN"/>
        </w:rPr>
        <w:t>7、</w:t>
      </w:r>
      <w:r>
        <w:rPr>
          <w:rFonts w:hint="eastAsia" w:ascii="宋体" w:hAnsi="宋体" w:cs="宋体"/>
          <w:kern w:val="0"/>
          <w:sz w:val="24"/>
        </w:rPr>
        <w:t>各工种、各专业之间无条件配合，不计取任何配合费。</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8、</w:t>
      </w:r>
      <w:r>
        <w:rPr>
          <w:rFonts w:hint="eastAsia" w:ascii="宋体" w:hAnsi="宋体" w:cs="宋体"/>
          <w:sz w:val="24"/>
        </w:rPr>
        <w:t>所有垃圾清理外运：清理、拆除的垃圾外运及垃圾处理费，由投标单位考虑到报价中，垃圾处理要求按照“常城管（2019）31号”文件执行，该项费用包干。</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9、</w:t>
      </w:r>
      <w:r>
        <w:rPr>
          <w:rFonts w:hint="eastAsia" w:ascii="宋体" w:hAnsi="宋体" w:cs="宋体"/>
          <w:sz w:val="24"/>
        </w:rPr>
        <w:t>保修期内验收发现涂料剥皮，脱落、瓷砖开裂、空鼓，均由施工方无偿返工维修。</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10、</w:t>
      </w:r>
      <w:r>
        <w:rPr>
          <w:rFonts w:hint="eastAsia" w:ascii="宋体" w:hAnsi="宋体" w:cs="宋体"/>
          <w:sz w:val="24"/>
        </w:rPr>
        <w:t>所有涂料、乳胶漆、胶水、腻子均要求一次性进场，施工期间只允许进不允许出。主要主材（包括外墙涂料、外墙乳胶漆、内墙乳胶漆、胶水）提供有效期内的环保检测合格证;施工过程中注意成品保护，用彩条布或塑料薄膜覆盖。</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11、</w:t>
      </w:r>
      <w:r>
        <w:rPr>
          <w:rFonts w:hint="eastAsia" w:ascii="宋体" w:hAnsi="宋体" w:cs="宋体"/>
          <w:sz w:val="24"/>
        </w:rPr>
        <w:t>墙面、天棚、地面、台面、门窗、扶手、灯具、空调、桌椅、柜面等清理干净交付；所有项目的报价均为按规范、要求完成该项目所有工序、工完场清且经验收合格后的价格 。</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12、</w:t>
      </w:r>
      <w:r>
        <w:rPr>
          <w:rFonts w:hint="eastAsia" w:ascii="宋体" w:hAnsi="宋体" w:cs="宋体"/>
          <w:sz w:val="24"/>
        </w:rPr>
        <w:t>所有刷涂料项目中，现场均包含线槽管刷涂料，线槽切割机切割，包含铺设网格布，不另行签证。</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13、</w:t>
      </w:r>
      <w:r>
        <w:rPr>
          <w:rFonts w:hint="eastAsia" w:ascii="宋体" w:hAnsi="宋体" w:cs="宋体"/>
          <w:sz w:val="24"/>
        </w:rPr>
        <w:t>所有门窗塞缝，发泡剂禁止用刀片切割，以防渗水。门窗框与墙体连接必须全部使用304不锈钢配件。</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kern w:val="0"/>
          <w:sz w:val="24"/>
          <w:lang w:val="en-US" w:eastAsia="zh-CN"/>
        </w:rPr>
      </w:pPr>
      <w:r>
        <w:rPr>
          <w:rFonts w:hint="eastAsia" w:ascii="宋体" w:hAnsi="宋体" w:cs="宋体"/>
          <w:sz w:val="24"/>
          <w:lang w:val="en-US" w:eastAsia="zh-CN"/>
        </w:rPr>
        <w:t>14、</w:t>
      </w:r>
      <w:r>
        <w:rPr>
          <w:rFonts w:hint="eastAsia" w:cs="宋体" w:asciiTheme="minorEastAsia" w:hAnsiTheme="minorEastAsia"/>
          <w:sz w:val="24"/>
          <w:lang w:val="en-US" w:eastAsia="zh-CN"/>
        </w:rPr>
        <w:t>涉及石材饰面的综合单价中应包括石材的开采、加工损耗(含设计排版、采购、施工等所有损耗)、运输、切割、磨边、倒角、抽槽、面层处理（如抛光、毛面、荔枝面、做旧等）、开孔、铺贴及六面防渗、防腐处理、石材处理剂两道、刷背胶、贴纤维网格布等一切工作内容；背贴钢筋、背贴加强石、见光、亚光等加工费不单独计量。异形或弧形部分不单独计量，其所需增加的费用应包含在综合单价内。</w:t>
      </w:r>
      <w:r>
        <w:rPr>
          <w:rFonts w:hint="eastAsia" w:ascii="宋体" w:hAnsi="宋体" w:cs="宋体"/>
          <w:sz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408" w:lineRule="auto"/>
        <w:ind w:firstLine="480" w:firstLineChars="200"/>
        <w:jc w:val="left"/>
        <w:textAlignment w:val="auto"/>
        <w:rPr>
          <w:rFonts w:hint="eastAsia" w:cs="宋体" w:asciiTheme="minorEastAsia" w:hAnsiTheme="minorEastAsia"/>
          <w:sz w:val="24"/>
          <w:lang w:val="en-US" w:eastAsia="zh-CN"/>
        </w:rPr>
      </w:pPr>
      <w:r>
        <w:rPr>
          <w:rFonts w:hint="eastAsia" w:ascii="宋体" w:hAnsi="宋体" w:cs="宋体"/>
          <w:sz w:val="24"/>
          <w:lang w:val="en-US" w:eastAsia="zh-CN"/>
        </w:rPr>
        <w:t>15、</w:t>
      </w:r>
      <w:r>
        <w:rPr>
          <w:rFonts w:hint="eastAsia" w:ascii="宋体" w:hAnsi="宋体" w:eastAsia="宋体" w:cs="宋体"/>
          <w:color w:val="000000"/>
          <w:kern w:val="0"/>
          <w:sz w:val="24"/>
          <w:szCs w:val="24"/>
          <w:lang w:val="en-US" w:eastAsia="zh-CN" w:bidi="ar"/>
        </w:rPr>
        <w:t>工程中涉及的混凝土的输送方式由施工单位自行考虑，结算不调整。</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lang w:val="en-US" w:eastAsia="zh-CN"/>
        </w:rPr>
      </w:pPr>
      <w:r>
        <w:rPr>
          <w:rFonts w:hint="eastAsia" w:ascii="宋体" w:hAnsi="宋体" w:eastAsia="宋体" w:cs="宋体"/>
          <w:color w:val="000000"/>
          <w:kern w:val="0"/>
          <w:sz w:val="24"/>
          <w:szCs w:val="24"/>
          <w:lang w:val="en-US" w:eastAsia="zh-CN" w:bidi="ar"/>
        </w:rPr>
        <w:t>16、</w:t>
      </w:r>
      <w:r>
        <w:rPr>
          <w:rFonts w:hint="eastAsia" w:cs="宋体" w:asciiTheme="minorEastAsia" w:hAnsiTheme="minorEastAsia"/>
          <w:sz w:val="24"/>
          <w:lang w:val="en-US" w:eastAsia="zh-CN"/>
        </w:rPr>
        <w:t>材料、设备的二次搬运费均已包含在相关项目中，不再另行计取。</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17、</w:t>
      </w:r>
      <w:r>
        <w:rPr>
          <w:rFonts w:hint="eastAsia" w:cs="宋体" w:asciiTheme="minorEastAsia" w:hAnsiTheme="minorEastAsia"/>
          <w:sz w:val="24"/>
        </w:rPr>
        <w:t>本工程现场施工中环境保护、夜间施工、冬雨季施工、地上/地下设施/建筑物的临时保护设施、已完工程及设备保护、临时设施等费用、建筑工人实名制费用，投标人在投标报价时应充分考虑，结算时不予调整。</w:t>
      </w:r>
    </w:p>
    <w:p>
      <w:pPr>
        <w:keepNext w:val="0"/>
        <w:keepLines w:val="0"/>
        <w:pageBreakBefore w:val="0"/>
        <w:kinsoku/>
        <w:wordWrap/>
        <w:overflowPunct/>
        <w:topLinePunct w:val="0"/>
        <w:autoSpaceDE/>
        <w:autoSpaceDN/>
        <w:bidi w:val="0"/>
        <w:adjustRightInd/>
        <w:snapToGrid/>
        <w:spacing w:line="408"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18、</w:t>
      </w:r>
      <w:r>
        <w:rPr>
          <w:rFonts w:hint="eastAsia" w:cs="宋体" w:asciiTheme="minorEastAsia" w:hAnsiTheme="minorEastAsia"/>
          <w:sz w:val="24"/>
        </w:rPr>
        <w:t>单价及总价措施项目清单未列的，如投标单位认为实际现场需要的其他措施，则投标单位需将其费用自行考虑在投标总价内，结算时不新增措施项目清单。</w:t>
      </w:r>
    </w:p>
    <w:p>
      <w:pPr>
        <w:keepNext w:val="0"/>
        <w:keepLines w:val="0"/>
        <w:pageBreakBefore w:val="0"/>
        <w:kinsoku/>
        <w:wordWrap/>
        <w:overflowPunct/>
        <w:topLinePunct w:val="0"/>
        <w:autoSpaceDE/>
        <w:autoSpaceDN/>
        <w:bidi w:val="0"/>
        <w:adjustRightInd/>
        <w:snapToGrid/>
        <w:spacing w:line="408"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19、</w:t>
      </w:r>
      <w:r>
        <w:rPr>
          <w:rFonts w:hint="eastAsia" w:cs="宋体" w:asciiTheme="minorEastAsia" w:hAnsiTheme="minorEastAsia"/>
          <w:sz w:val="24"/>
        </w:rPr>
        <w:t>清单未描述完整处，投标单位还需按照验收规范及技术文件要求，进行报价。</w:t>
      </w:r>
    </w:p>
    <w:p>
      <w:pPr>
        <w:spacing w:line="360" w:lineRule="auto"/>
        <w:rPr>
          <w:rFonts w:hint="eastAsia" w:cs="Times New Roman" w:asciiTheme="minorEastAsia" w:hAnsiTheme="minorEastAsia"/>
          <w:b/>
          <w:bCs/>
          <w:kern w:val="0"/>
          <w:sz w:val="24"/>
        </w:rPr>
      </w:pPr>
      <w:r>
        <w:rPr>
          <w:rFonts w:hint="eastAsia" w:cs="Times New Roman" w:asciiTheme="minorEastAsia" w:hAnsiTheme="minorEastAsia"/>
          <w:b/>
          <w:bCs/>
          <w:kern w:val="0"/>
          <w:sz w:val="24"/>
          <w:lang w:val="en-US" w:eastAsia="zh-CN"/>
        </w:rPr>
        <w:t>四、</w:t>
      </w:r>
      <w:r>
        <w:rPr>
          <w:rFonts w:hint="eastAsia" w:cs="Times New Roman" w:asciiTheme="minorEastAsia" w:hAnsiTheme="minorEastAsia"/>
          <w:b/>
          <w:bCs/>
          <w:kern w:val="0"/>
          <w:sz w:val="24"/>
        </w:rPr>
        <w:t>材料品牌选择：</w:t>
      </w:r>
    </w:p>
    <w:p>
      <w:pPr>
        <w:spacing w:line="360" w:lineRule="auto"/>
        <w:rPr>
          <w:rFonts w:hint="eastAsia" w:cs="Times New Roman" w:asciiTheme="minorEastAsia" w:hAnsiTheme="minorEastAsia"/>
          <w:b/>
          <w:bCs/>
          <w:kern w:val="0"/>
          <w:sz w:val="24"/>
        </w:rPr>
      </w:pPr>
    </w:p>
    <w:tbl>
      <w:tblPr>
        <w:tblStyle w:val="5"/>
        <w:tblW w:w="9371" w:type="dxa"/>
        <w:tblInd w:w="93" w:type="dxa"/>
        <w:tblLayout w:type="fixed"/>
        <w:tblCellMar>
          <w:top w:w="0" w:type="dxa"/>
          <w:left w:w="108" w:type="dxa"/>
          <w:bottom w:w="0" w:type="dxa"/>
          <w:right w:w="108" w:type="dxa"/>
        </w:tblCellMar>
      </w:tblPr>
      <w:tblGrid>
        <w:gridCol w:w="640"/>
        <w:gridCol w:w="2069"/>
        <w:gridCol w:w="4819"/>
        <w:gridCol w:w="1843"/>
      </w:tblGrid>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序号</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材料名称</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品 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备注</w:t>
            </w:r>
          </w:p>
        </w:tc>
      </w:tr>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kern w:val="0"/>
                <w:sz w:val="24"/>
              </w:rPr>
            </w:pPr>
            <w:r>
              <w:rPr>
                <w:rFonts w:hint="eastAsia" w:ascii="宋体" w:hAnsi="宋体" w:cs="宋体"/>
                <w:kern w:val="0"/>
                <w:sz w:val="24"/>
              </w:rPr>
              <w:t>1</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eastAsiaTheme="minorEastAsia"/>
                <w:spacing w:val="9"/>
                <w:sz w:val="24"/>
                <w:lang w:val="en-US" w:eastAsia="zh-CN"/>
              </w:rPr>
            </w:pPr>
            <w:r>
              <w:rPr>
                <w:rFonts w:hint="eastAsia" w:ascii="宋体"/>
                <w:spacing w:val="9"/>
                <w:sz w:val="24"/>
              </w:rPr>
              <w:t>内墙</w:t>
            </w:r>
            <w:r>
              <w:rPr>
                <w:rFonts w:hint="eastAsia" w:ascii="宋体"/>
                <w:spacing w:val="9"/>
                <w:sz w:val="24"/>
                <w:lang w:val="en-US" w:eastAsia="zh-CN"/>
              </w:rPr>
              <w:t>乳胶漆</w:t>
            </w:r>
          </w:p>
        </w:tc>
        <w:tc>
          <w:tcPr>
            <w:tcW w:w="481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spacing w:val="9"/>
                <w:sz w:val="24"/>
              </w:rPr>
            </w:pPr>
            <w:r>
              <w:rPr>
                <w:rFonts w:hint="eastAsia" w:ascii="宋体" w:hAnsi="宋体" w:cs="宋体"/>
                <w:color w:val="000000"/>
                <w:kern w:val="0"/>
                <w:sz w:val="24"/>
              </w:rPr>
              <w:t>光辉BC-102</w:t>
            </w:r>
            <w:r>
              <w:rPr>
                <w:rFonts w:hint="eastAsia" w:ascii="宋体" w:hAnsi="宋体" w:cs="宋体"/>
                <w:color w:val="000000"/>
                <w:kern w:val="0"/>
                <w:sz w:val="24"/>
                <w:lang w:eastAsia="zh-CN"/>
              </w:rPr>
              <w:t>、</w:t>
            </w:r>
            <w:r>
              <w:rPr>
                <w:rFonts w:hint="eastAsia" w:ascii="宋体" w:hAnsi="宋体" w:cs="宋体"/>
                <w:color w:val="000000"/>
                <w:kern w:val="0"/>
                <w:sz w:val="24"/>
              </w:rPr>
              <w:t>雅士利</w:t>
            </w:r>
            <w:r>
              <w:rPr>
                <w:rFonts w:hint="eastAsia" w:ascii="宋体" w:hAnsi="宋体" w:cs="宋体"/>
                <w:color w:val="000000"/>
                <w:kern w:val="0"/>
                <w:sz w:val="24"/>
                <w:lang w:eastAsia="zh-CN"/>
              </w:rPr>
              <w:t>、</w:t>
            </w:r>
            <w:r>
              <w:rPr>
                <w:rFonts w:hint="eastAsia" w:ascii="宋体"/>
                <w:spacing w:val="9"/>
                <w:sz w:val="24"/>
              </w:rPr>
              <w:t>立邦漆Nippon、三棵树Skshu或经建设方书面认可的上述同档次品牌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施工现场必须是原装18L或25L每桶</w:t>
            </w:r>
          </w:p>
        </w:tc>
      </w:tr>
      <w:tr>
        <w:tblPrEx>
          <w:tblCellMar>
            <w:top w:w="0" w:type="dxa"/>
            <w:left w:w="108" w:type="dxa"/>
            <w:bottom w:w="0" w:type="dxa"/>
            <w:right w:w="108" w:type="dxa"/>
          </w:tblCellMar>
        </w:tblPrEx>
        <w:trPr>
          <w:trHeight w:val="582"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lang w:eastAsia="zh-CN"/>
              </w:rPr>
            </w:pPr>
            <w:r>
              <w:rPr>
                <w:rFonts w:hint="eastAsia" w:ascii="宋体" w:hAnsi="宋体" w:cs="宋体"/>
                <w:sz w:val="24"/>
                <w:lang w:val="en-US" w:eastAsia="zh-CN"/>
              </w:rPr>
              <w:t>2</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窗五金配件、窗锁等</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杨氏立兴（青岛）、坚朗（东莞）、合和兴（佛山）或经甲方认可的其他同等档次品牌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lang w:eastAsia="zh-CN"/>
              </w:rPr>
            </w:pPr>
            <w:r>
              <w:rPr>
                <w:rFonts w:hint="eastAsia" w:ascii="宋体" w:hAnsi="宋体" w:cs="宋体"/>
                <w:sz w:val="24"/>
                <w:lang w:val="en-US" w:eastAsia="zh-CN"/>
              </w:rPr>
              <w:t>3</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玻璃</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信义、上海耀皮、深圳南玻或经甲方认可的其他同等档次品牌（均为原厂原片）</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4</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eastAsiaTheme="minorEastAsia"/>
                <w:spacing w:val="9"/>
                <w:sz w:val="24"/>
                <w:lang w:val="en-US" w:eastAsia="zh-CN"/>
              </w:rPr>
            </w:pPr>
            <w:r>
              <w:rPr>
                <w:rFonts w:hint="eastAsia" w:ascii="宋体"/>
                <w:spacing w:val="9"/>
                <w:sz w:val="24"/>
                <w:lang w:val="en-US" w:eastAsia="zh-CN"/>
              </w:rPr>
              <w:t>地胶地面</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lang w:val="en-US" w:eastAsia="zh-CN"/>
              </w:rPr>
            </w:pPr>
            <w:r>
              <w:rPr>
                <w:rFonts w:hint="eastAsia" w:ascii="宋体"/>
                <w:spacing w:val="9"/>
                <w:sz w:val="24"/>
                <w:lang w:val="en-US" w:eastAsia="zh-CN"/>
              </w:rPr>
              <w:t>宝丽、雅卓、丽杰</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eastAsiaTheme="minorEastAsia"/>
                <w:spacing w:val="9"/>
                <w:sz w:val="24"/>
                <w:lang w:val="en-US" w:eastAsia="zh-CN"/>
              </w:rPr>
            </w:pPr>
            <w:r>
              <w:rPr>
                <w:rFonts w:hint="eastAsia" w:ascii="宋体"/>
                <w:spacing w:val="9"/>
                <w:sz w:val="22"/>
                <w:szCs w:val="22"/>
                <w:lang w:val="en-US" w:eastAsia="zh-CN"/>
              </w:rPr>
              <w:t>技术要求：厚度为2mm的塑胶地板、同质透芯、无方向碎花、耐磨等级T、防火等级B1、防滑等级R</w:t>
            </w: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5</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lang w:val="en-US" w:eastAsia="zh-CN"/>
              </w:rPr>
              <w:t xml:space="preserve"> </w:t>
            </w:r>
          </w:p>
          <w:p>
            <w:pPr>
              <w:widowControl/>
              <w:jc w:val="center"/>
              <w:rPr>
                <w:rFonts w:hint="eastAsia" w:ascii="宋体"/>
                <w:spacing w:val="9"/>
                <w:sz w:val="24"/>
              </w:rPr>
            </w:pPr>
            <w:r>
              <w:rPr>
                <w:rFonts w:hint="eastAsia" w:ascii="宋体"/>
                <w:spacing w:val="9"/>
                <w:sz w:val="24"/>
                <w:lang w:val="en-US" w:eastAsia="zh-CN"/>
              </w:rPr>
              <w:t xml:space="preserve">铝方通 </w:t>
            </w:r>
          </w:p>
          <w:p>
            <w:pPr>
              <w:widowControl/>
              <w:jc w:val="center"/>
              <w:rPr>
                <w:rFonts w:hint="eastAsia" w:ascii="宋体"/>
                <w:spacing w:val="9"/>
                <w:sz w:val="24"/>
              </w:rPr>
            </w:pP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lang w:val="en-US" w:eastAsia="zh-CN"/>
              </w:rPr>
              <w:t>欧斯宝、雪忠、柏尔斯</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6</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lang w:val="en-US" w:eastAsia="zh-CN"/>
              </w:rPr>
              <w:t>成品木质门</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lang w:val="en-US" w:eastAsia="zh-CN"/>
              </w:rPr>
              <w:t>南洋、</w:t>
            </w:r>
            <w:r>
              <w:rPr>
                <w:rFonts w:hint="eastAsia" w:ascii="宋体" w:hAnsi="宋体" w:cs="宋体"/>
                <w:color w:val="000000"/>
                <w:kern w:val="0"/>
                <w:sz w:val="24"/>
              </w:rPr>
              <w:t>凯邦木业、红帆木门、美心或经甲方认可的上述同档次品牌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sz w:val="24"/>
                <w:lang w:eastAsia="zh-CN"/>
              </w:rPr>
            </w:pPr>
            <w:r>
              <w:rPr>
                <w:rFonts w:hint="eastAsia" w:ascii="宋体" w:hAnsi="宋体" w:eastAsia="宋体" w:cs="宋体"/>
                <w:sz w:val="24"/>
                <w:lang w:val="en-US" w:eastAsia="zh-CN"/>
              </w:rPr>
              <w:t>7</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电线、电缆</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上上、远东、江南或经建设方书面认可的上述同档次品牌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sz w:val="24"/>
                <w:lang w:eastAsia="zh-CN"/>
              </w:rPr>
            </w:pPr>
            <w:r>
              <w:rPr>
                <w:rFonts w:hint="eastAsia" w:ascii="宋体" w:hAnsi="宋体" w:eastAsia="宋体" w:cs="宋体"/>
                <w:sz w:val="24"/>
                <w:lang w:val="en-US" w:eastAsia="zh-CN"/>
              </w:rPr>
              <w:t>8</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PPR给水管、PVC穿线管及PVC排水管管材</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联塑、河马、中财、日丰或经建设方认可的上述同档次品牌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9</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风扇</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美的、钻石、长城或经建设方书面认可的上述同档次品牌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10</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灯具、开关插座</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欧普、雷士、飞利浦或经建设方认可的上述同档次品牌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11</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Times New Roman" w:eastAsia="宋体" w:cs="Times New Roman"/>
                <w:spacing w:val="9"/>
                <w:kern w:val="2"/>
                <w:sz w:val="24"/>
                <w:szCs w:val="24"/>
                <w:lang w:val="en-US" w:eastAsia="zh-CN" w:bidi="ar-SA"/>
              </w:rPr>
            </w:pPr>
            <w:r>
              <w:rPr>
                <w:rFonts w:hint="eastAsia" w:ascii="宋体" w:hAnsi="Times New Roman" w:eastAsia="宋体" w:cs="Times New Roman"/>
                <w:spacing w:val="9"/>
                <w:sz w:val="24"/>
              </w:rPr>
              <w:t>配电箱</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Times New Roman" w:eastAsia="宋体" w:cs="Times New Roman"/>
                <w:spacing w:val="9"/>
                <w:kern w:val="2"/>
                <w:sz w:val="24"/>
                <w:szCs w:val="24"/>
                <w:lang w:val="en-US" w:eastAsia="zh-CN" w:bidi="ar-SA"/>
              </w:rPr>
            </w:pPr>
            <w:r>
              <w:rPr>
                <w:rFonts w:hint="eastAsia" w:ascii="宋体" w:hAnsi="Times New Roman" w:eastAsia="宋体" w:cs="Times New Roman"/>
                <w:spacing w:val="9"/>
                <w:sz w:val="24"/>
              </w:rPr>
              <w:t>德力西、TCL、正泰或经建设方认可的上述同档次品牌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bl>
    <w:p>
      <w:pPr>
        <w:spacing w:line="360" w:lineRule="auto"/>
        <w:jc w:val="left"/>
        <w:rPr>
          <w:rFonts w:hint="default" w:cs="宋体" w:asciiTheme="minorEastAsia" w:hAnsiTheme="minorEastAsia"/>
          <w:sz w:val="24"/>
          <w:lang w:val="en-US" w:eastAsia="zh-CN"/>
        </w:rPr>
      </w:pPr>
    </w:p>
    <w:p>
      <w:pPr>
        <w:spacing w:line="360" w:lineRule="auto"/>
        <w:jc w:val="left"/>
        <w:rPr>
          <w:rFonts w:hint="default" w:cs="宋体" w:asciiTheme="minorEastAsia" w:hAnsiTheme="minorEastAsia"/>
          <w:sz w:val="24"/>
          <w:lang w:val="en-US" w:eastAsia="zh-CN"/>
        </w:rPr>
      </w:pPr>
    </w:p>
    <w:p>
      <w:pPr>
        <w:spacing w:line="360" w:lineRule="auto"/>
        <w:jc w:val="left"/>
        <w:rPr>
          <w:rFonts w:hint="default" w:cs="宋体" w:asciiTheme="minorEastAsia" w:hAnsiTheme="minorEastAsia"/>
          <w:sz w:val="24"/>
          <w:lang w:val="en-US" w:eastAsia="zh-CN"/>
        </w:rPr>
        <w:sectPr>
          <w:pgSz w:w="11906" w:h="16838"/>
          <w:pgMar w:top="1270" w:right="1800" w:bottom="930" w:left="1800" w:header="851" w:footer="992" w:gutter="0"/>
          <w:cols w:space="0" w:num="1"/>
          <w:docGrid w:type="lines" w:linePitch="312" w:charSpace="0"/>
        </w:sectPr>
      </w:pPr>
    </w:p>
    <w:p>
      <w:pPr>
        <w:spacing w:line="360" w:lineRule="auto"/>
        <w:jc w:val="left"/>
        <w:rPr>
          <w:rFonts w:hint="default" w:cs="宋体" w:asciiTheme="minorEastAsia" w:hAnsiTheme="minorEastAsia"/>
          <w:sz w:val="24"/>
          <w:lang w:val="en-US" w:eastAsia="zh-CN"/>
        </w:rPr>
      </w:pPr>
    </w:p>
    <w:tbl>
      <w:tblPr>
        <w:tblStyle w:val="5"/>
        <w:tblW w:w="146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2"/>
        <w:gridCol w:w="3108"/>
        <w:gridCol w:w="1872"/>
        <w:gridCol w:w="1872"/>
        <w:gridCol w:w="1872"/>
        <w:gridCol w:w="1272"/>
        <w:gridCol w:w="1332"/>
        <w:gridCol w:w="1512"/>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0" w:hRule="atLeast"/>
        </w:trPr>
        <w:tc>
          <w:tcPr>
            <w:tcW w:w="14640"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常州市金坛区薛埠中学宿舍内部等出新改造工程 造价汇总表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492"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108"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工程名称</w:t>
            </w:r>
          </w:p>
        </w:tc>
        <w:tc>
          <w:tcPr>
            <w:tcW w:w="187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标底价（元）</w:t>
            </w:r>
          </w:p>
        </w:tc>
        <w:tc>
          <w:tcPr>
            <w:tcW w:w="187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控制价（元）</w:t>
            </w:r>
          </w:p>
        </w:tc>
        <w:tc>
          <w:tcPr>
            <w:tcW w:w="187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相对标差（元）</w:t>
            </w:r>
          </w:p>
        </w:tc>
        <w:tc>
          <w:tcPr>
            <w:tcW w:w="127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暂列金额</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（元）</w:t>
            </w:r>
          </w:p>
        </w:tc>
        <w:tc>
          <w:tcPr>
            <w:tcW w:w="133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不可竞争费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（元）</w:t>
            </w:r>
          </w:p>
        </w:tc>
        <w:tc>
          <w:tcPr>
            <w:tcW w:w="151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可竞争费（元）</w:t>
            </w:r>
          </w:p>
        </w:tc>
        <w:tc>
          <w:tcPr>
            <w:tcW w:w="1308" w:type="dxa"/>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控制价系数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492"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常州市金坛区薛埠中学宿舍内部等出新改造工程-修缮</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529839.58 </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500449.21 </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29390.37 </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40000.00 </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45348.36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484491.22 </w:t>
            </w:r>
          </w:p>
        </w:tc>
        <w:tc>
          <w:tcPr>
            <w:tcW w:w="1308"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492"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常州市金坛区薛埠中学宿舍内部等出新改造工程-安装</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274699.25 </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249229.32 </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25469.93 </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20000.00 </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22414.76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252284.49 </w:t>
            </w:r>
          </w:p>
        </w:tc>
        <w:tc>
          <w:tcPr>
            <w:tcW w:w="1308"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0" w:hRule="atLeast"/>
        </w:trPr>
        <w:tc>
          <w:tcPr>
            <w:tcW w:w="492" w:type="dxa"/>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8"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187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804538.83 </w:t>
            </w:r>
          </w:p>
        </w:tc>
        <w:tc>
          <w:tcPr>
            <w:tcW w:w="187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749678.53 </w:t>
            </w:r>
          </w:p>
        </w:tc>
        <w:tc>
          <w:tcPr>
            <w:tcW w:w="187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54860.30 </w:t>
            </w:r>
          </w:p>
        </w:tc>
        <w:tc>
          <w:tcPr>
            <w:tcW w:w="127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60000.00 </w:t>
            </w:r>
          </w:p>
        </w:tc>
        <w:tc>
          <w:tcPr>
            <w:tcW w:w="133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67763.12 </w:t>
            </w:r>
          </w:p>
        </w:tc>
        <w:tc>
          <w:tcPr>
            <w:tcW w:w="151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736775.71 </w:t>
            </w:r>
          </w:p>
        </w:tc>
        <w:tc>
          <w:tcPr>
            <w:tcW w:w="1308" w:type="dxa"/>
            <w:tcBorders>
              <w:top w:val="single" w:color="000000" w:sz="4" w:space="0"/>
              <w:left w:val="single" w:color="000000" w:sz="4"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bl>
    <w:p>
      <w:pPr>
        <w:spacing w:line="360" w:lineRule="auto"/>
        <w:jc w:val="left"/>
        <w:rPr>
          <w:rFonts w:hint="default" w:cs="宋体" w:asciiTheme="minorEastAsia" w:hAnsiTheme="minorEastAsia"/>
          <w:sz w:val="24"/>
          <w:lang w:val="en-US" w:eastAsia="zh-CN"/>
        </w:rPr>
      </w:pPr>
    </w:p>
    <w:p>
      <w:pPr>
        <w:spacing w:line="360" w:lineRule="auto"/>
        <w:ind w:firstLine="4560" w:firstLineChars="1900"/>
        <w:jc w:val="right"/>
        <w:rPr>
          <w:rFonts w:asciiTheme="minorEastAsia" w:hAnsiTheme="minorEastAsia"/>
          <w:sz w:val="24"/>
        </w:rPr>
      </w:pPr>
      <w:r>
        <w:rPr>
          <w:rFonts w:hint="eastAsia" w:asciiTheme="minorEastAsia" w:hAnsiTheme="minorEastAsia"/>
          <w:sz w:val="24"/>
          <w:lang w:val="en-US" w:eastAsia="zh-CN"/>
        </w:rPr>
        <w:t>江苏佳宸全过程工程咨询</w:t>
      </w:r>
      <w:r>
        <w:rPr>
          <w:rFonts w:hint="eastAsia" w:asciiTheme="minorEastAsia" w:hAnsiTheme="minorEastAsia"/>
          <w:sz w:val="24"/>
        </w:rPr>
        <w:t>有限公司</w:t>
      </w:r>
    </w:p>
    <w:p>
      <w:pPr>
        <w:spacing w:line="360" w:lineRule="auto"/>
        <w:ind w:firstLine="5760" w:firstLineChars="2400"/>
        <w:jc w:val="center"/>
        <w:rPr>
          <w:rFonts w:hint="default" w:asciiTheme="minorEastAsia" w:hAnsiTheme="minorEastAsia"/>
          <w:sz w:val="24"/>
          <w:lang w:val="en-US" w:eastAsia="zh-CN"/>
        </w:rPr>
      </w:pPr>
      <w:r>
        <w:rPr>
          <w:rFonts w:hint="eastAsia" w:asciiTheme="minorEastAsia" w:hAnsiTheme="minorEastAsia"/>
          <w:sz w:val="24"/>
          <w:lang w:val="en-US" w:eastAsia="zh-CN"/>
        </w:rPr>
        <w:t xml:space="preserve">                                               </w:t>
      </w:r>
      <w:r>
        <w:rPr>
          <w:rFonts w:hint="eastAsia" w:asciiTheme="minorEastAsia" w:hAnsiTheme="minorEastAsia"/>
          <w:sz w:val="24"/>
        </w:rPr>
        <w:t>202</w:t>
      </w:r>
      <w:r>
        <w:rPr>
          <w:rFonts w:hint="eastAsia" w:asciiTheme="minorEastAsia" w:hAnsiTheme="minorEastAsia"/>
          <w:sz w:val="24"/>
          <w:lang w:val="en-US" w:eastAsia="zh-CN"/>
        </w:rPr>
        <w:t>3.5.25</w:t>
      </w:r>
    </w:p>
    <w:sectPr>
      <w:pgSz w:w="16838" w:h="11906" w:orient="landscape"/>
      <w:pgMar w:top="1800" w:right="1270" w:bottom="1800" w:left="93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k5YWZjZjRlOWZjZWExYTc4ZTFkNzdhYTkxZjQxYjQifQ=="/>
  </w:docVars>
  <w:rsids>
    <w:rsidRoot w:val="78361017"/>
    <w:rsid w:val="00016CEC"/>
    <w:rsid w:val="000438A7"/>
    <w:rsid w:val="00064F47"/>
    <w:rsid w:val="000E02E9"/>
    <w:rsid w:val="00100BFE"/>
    <w:rsid w:val="00143292"/>
    <w:rsid w:val="00152FA3"/>
    <w:rsid w:val="001838C9"/>
    <w:rsid w:val="001E6349"/>
    <w:rsid w:val="0020433B"/>
    <w:rsid w:val="002171D2"/>
    <w:rsid w:val="00247032"/>
    <w:rsid w:val="002544E7"/>
    <w:rsid w:val="002575F4"/>
    <w:rsid w:val="002B5EAA"/>
    <w:rsid w:val="002C2AD3"/>
    <w:rsid w:val="002E6D8E"/>
    <w:rsid w:val="002F41F6"/>
    <w:rsid w:val="0036424A"/>
    <w:rsid w:val="003672DC"/>
    <w:rsid w:val="003C5AA0"/>
    <w:rsid w:val="003C5BFB"/>
    <w:rsid w:val="003D4563"/>
    <w:rsid w:val="004269FE"/>
    <w:rsid w:val="0048145E"/>
    <w:rsid w:val="0048555D"/>
    <w:rsid w:val="00493F0A"/>
    <w:rsid w:val="004A0581"/>
    <w:rsid w:val="004D5688"/>
    <w:rsid w:val="00505FC4"/>
    <w:rsid w:val="005356C3"/>
    <w:rsid w:val="0054025C"/>
    <w:rsid w:val="00553E9F"/>
    <w:rsid w:val="00586D33"/>
    <w:rsid w:val="005B0BFE"/>
    <w:rsid w:val="005C1353"/>
    <w:rsid w:val="005F1694"/>
    <w:rsid w:val="006305E6"/>
    <w:rsid w:val="0064559E"/>
    <w:rsid w:val="00647F30"/>
    <w:rsid w:val="0067028C"/>
    <w:rsid w:val="00680A3D"/>
    <w:rsid w:val="006D728C"/>
    <w:rsid w:val="006F2FC1"/>
    <w:rsid w:val="00753550"/>
    <w:rsid w:val="007D4E8A"/>
    <w:rsid w:val="008338AE"/>
    <w:rsid w:val="00845410"/>
    <w:rsid w:val="008508BB"/>
    <w:rsid w:val="0087569F"/>
    <w:rsid w:val="008831B1"/>
    <w:rsid w:val="008B0F3E"/>
    <w:rsid w:val="008C2D83"/>
    <w:rsid w:val="008D5029"/>
    <w:rsid w:val="008E7233"/>
    <w:rsid w:val="00913D43"/>
    <w:rsid w:val="0091770D"/>
    <w:rsid w:val="009302EF"/>
    <w:rsid w:val="00937456"/>
    <w:rsid w:val="009530A9"/>
    <w:rsid w:val="00982A16"/>
    <w:rsid w:val="009D4E62"/>
    <w:rsid w:val="00AA79C6"/>
    <w:rsid w:val="00AC7145"/>
    <w:rsid w:val="00AF4634"/>
    <w:rsid w:val="00B14879"/>
    <w:rsid w:val="00B76C4B"/>
    <w:rsid w:val="00BA4537"/>
    <w:rsid w:val="00BF0703"/>
    <w:rsid w:val="00C01CD9"/>
    <w:rsid w:val="00C243EF"/>
    <w:rsid w:val="00C71D8F"/>
    <w:rsid w:val="00CA0DA7"/>
    <w:rsid w:val="00CC0E51"/>
    <w:rsid w:val="00D67571"/>
    <w:rsid w:val="00D803AB"/>
    <w:rsid w:val="00D93BBF"/>
    <w:rsid w:val="00DB2C6B"/>
    <w:rsid w:val="00E25D8C"/>
    <w:rsid w:val="00E458AA"/>
    <w:rsid w:val="00E604BD"/>
    <w:rsid w:val="00E8050C"/>
    <w:rsid w:val="00E859F9"/>
    <w:rsid w:val="00E96B4F"/>
    <w:rsid w:val="00EB3E9F"/>
    <w:rsid w:val="00EB7352"/>
    <w:rsid w:val="00ED4EBE"/>
    <w:rsid w:val="00F03DDC"/>
    <w:rsid w:val="00FD2EDD"/>
    <w:rsid w:val="00FD2EE3"/>
    <w:rsid w:val="00FD6FCD"/>
    <w:rsid w:val="00FF01FE"/>
    <w:rsid w:val="02AF6FA3"/>
    <w:rsid w:val="02B35632"/>
    <w:rsid w:val="07D94E47"/>
    <w:rsid w:val="08714C92"/>
    <w:rsid w:val="08B1314F"/>
    <w:rsid w:val="096D32B3"/>
    <w:rsid w:val="09FA1A4D"/>
    <w:rsid w:val="0A062BC2"/>
    <w:rsid w:val="0A6D3263"/>
    <w:rsid w:val="0B5001B3"/>
    <w:rsid w:val="0B6C0341"/>
    <w:rsid w:val="0B8C71AA"/>
    <w:rsid w:val="0C484F66"/>
    <w:rsid w:val="0C8D3AAD"/>
    <w:rsid w:val="0EFC30BB"/>
    <w:rsid w:val="10305DCD"/>
    <w:rsid w:val="126170C1"/>
    <w:rsid w:val="129134B6"/>
    <w:rsid w:val="13EC77E2"/>
    <w:rsid w:val="147014C1"/>
    <w:rsid w:val="1758759C"/>
    <w:rsid w:val="17802191"/>
    <w:rsid w:val="18170C8C"/>
    <w:rsid w:val="18910D0B"/>
    <w:rsid w:val="1A092C9A"/>
    <w:rsid w:val="1A902CBE"/>
    <w:rsid w:val="1C1E62FF"/>
    <w:rsid w:val="1EED7F7A"/>
    <w:rsid w:val="20E7351D"/>
    <w:rsid w:val="21EA6E82"/>
    <w:rsid w:val="221958FB"/>
    <w:rsid w:val="239B2AB7"/>
    <w:rsid w:val="24700EB4"/>
    <w:rsid w:val="24A31DAF"/>
    <w:rsid w:val="2584489B"/>
    <w:rsid w:val="260B579F"/>
    <w:rsid w:val="27CF50B2"/>
    <w:rsid w:val="284553B4"/>
    <w:rsid w:val="29383010"/>
    <w:rsid w:val="294609CE"/>
    <w:rsid w:val="2A104310"/>
    <w:rsid w:val="2ACB56A5"/>
    <w:rsid w:val="2B032D2F"/>
    <w:rsid w:val="2B947461"/>
    <w:rsid w:val="2D3D7B08"/>
    <w:rsid w:val="2EBE7431"/>
    <w:rsid w:val="2FBD203A"/>
    <w:rsid w:val="32811051"/>
    <w:rsid w:val="32BA3390"/>
    <w:rsid w:val="34075B00"/>
    <w:rsid w:val="35D320EF"/>
    <w:rsid w:val="36AE456E"/>
    <w:rsid w:val="373B0A61"/>
    <w:rsid w:val="3962247D"/>
    <w:rsid w:val="3B3A2DF7"/>
    <w:rsid w:val="3B662930"/>
    <w:rsid w:val="3DA23CB8"/>
    <w:rsid w:val="40347E8A"/>
    <w:rsid w:val="41D3399B"/>
    <w:rsid w:val="42020A85"/>
    <w:rsid w:val="42665955"/>
    <w:rsid w:val="428C42F8"/>
    <w:rsid w:val="44C567BE"/>
    <w:rsid w:val="44D4435B"/>
    <w:rsid w:val="457572C5"/>
    <w:rsid w:val="457E3758"/>
    <w:rsid w:val="45D00471"/>
    <w:rsid w:val="467101CE"/>
    <w:rsid w:val="46B34867"/>
    <w:rsid w:val="470F730E"/>
    <w:rsid w:val="47D043FA"/>
    <w:rsid w:val="4BB01B20"/>
    <w:rsid w:val="4C4109B4"/>
    <w:rsid w:val="4D9F57B8"/>
    <w:rsid w:val="4EF57116"/>
    <w:rsid w:val="4F01466A"/>
    <w:rsid w:val="4F220221"/>
    <w:rsid w:val="50A07A99"/>
    <w:rsid w:val="51741E7C"/>
    <w:rsid w:val="51E950B7"/>
    <w:rsid w:val="52187E91"/>
    <w:rsid w:val="522649CA"/>
    <w:rsid w:val="522D4B2B"/>
    <w:rsid w:val="52611B29"/>
    <w:rsid w:val="530A05AF"/>
    <w:rsid w:val="530C7CA5"/>
    <w:rsid w:val="53634D2D"/>
    <w:rsid w:val="54930C6A"/>
    <w:rsid w:val="54A70C44"/>
    <w:rsid w:val="551A391F"/>
    <w:rsid w:val="55C20708"/>
    <w:rsid w:val="561073E9"/>
    <w:rsid w:val="56444E85"/>
    <w:rsid w:val="5E0A2A5B"/>
    <w:rsid w:val="5E1D538D"/>
    <w:rsid w:val="5E2D3EF3"/>
    <w:rsid w:val="5EA12711"/>
    <w:rsid w:val="5FD73FDE"/>
    <w:rsid w:val="6033204C"/>
    <w:rsid w:val="60ED7BD8"/>
    <w:rsid w:val="60FA26D8"/>
    <w:rsid w:val="6396613F"/>
    <w:rsid w:val="63F93742"/>
    <w:rsid w:val="65A62D78"/>
    <w:rsid w:val="66AA43B3"/>
    <w:rsid w:val="66AD4DB8"/>
    <w:rsid w:val="67280F2E"/>
    <w:rsid w:val="694B4341"/>
    <w:rsid w:val="6994700E"/>
    <w:rsid w:val="69EC1E2F"/>
    <w:rsid w:val="6BB45612"/>
    <w:rsid w:val="6BC44E95"/>
    <w:rsid w:val="6C767982"/>
    <w:rsid w:val="6CBA65C0"/>
    <w:rsid w:val="6CBF2F4D"/>
    <w:rsid w:val="6D7B3098"/>
    <w:rsid w:val="6E6C4BB6"/>
    <w:rsid w:val="6E947C7B"/>
    <w:rsid w:val="6F21423E"/>
    <w:rsid w:val="6F7B5D8F"/>
    <w:rsid w:val="6F874E4F"/>
    <w:rsid w:val="70DC2814"/>
    <w:rsid w:val="72202FDB"/>
    <w:rsid w:val="74B52FA1"/>
    <w:rsid w:val="76840604"/>
    <w:rsid w:val="77823C03"/>
    <w:rsid w:val="778A0A55"/>
    <w:rsid w:val="77EC65BC"/>
    <w:rsid w:val="78361017"/>
    <w:rsid w:val="78C6699C"/>
    <w:rsid w:val="7A270B8E"/>
    <w:rsid w:val="7AAC2CCB"/>
    <w:rsid w:val="7B4A6441"/>
    <w:rsid w:val="7BE869D6"/>
    <w:rsid w:val="7CD34B6F"/>
    <w:rsid w:val="7D271E29"/>
    <w:rsid w:val="7D2A16F6"/>
    <w:rsid w:val="7D9E1DED"/>
    <w:rsid w:val="7F182B5B"/>
    <w:rsid w:val="7F683B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qFormat/>
    <w:uiPriority w:val="0"/>
    <w:rPr>
      <w:sz w:val="18"/>
      <w:szCs w:val="18"/>
    </w:rPr>
  </w:style>
  <w:style w:type="paragraph" w:styleId="3">
    <w:name w:val="footer"/>
    <w:basedOn w:val="1"/>
    <w:link w:val="13"/>
    <w:autoRedefine/>
    <w:qFormat/>
    <w:uiPriority w:val="0"/>
    <w:pPr>
      <w:tabs>
        <w:tab w:val="center" w:pos="4153"/>
        <w:tab w:val="right" w:pos="8306"/>
      </w:tabs>
      <w:snapToGrid w:val="0"/>
      <w:jc w:val="left"/>
    </w:pPr>
    <w:rPr>
      <w:sz w:val="18"/>
      <w:szCs w:val="18"/>
    </w:rPr>
  </w:style>
  <w:style w:type="paragraph" w:styleId="4">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qFormat/>
    <w:uiPriority w:val="0"/>
    <w:rPr>
      <w:rFonts w:hint="eastAsia" w:ascii="宋体" w:hAnsi="宋体" w:eastAsia="宋体" w:cs="宋体"/>
      <w:color w:val="000000"/>
      <w:sz w:val="24"/>
      <w:szCs w:val="24"/>
      <w:u w:val="none"/>
    </w:rPr>
  </w:style>
  <w:style w:type="character" w:customStyle="1" w:styleId="9">
    <w:name w:val="font11"/>
    <w:basedOn w:val="7"/>
    <w:autoRedefine/>
    <w:qFormat/>
    <w:uiPriority w:val="0"/>
    <w:rPr>
      <w:rFonts w:hint="default" w:ascii="Tahoma" w:hAnsi="Tahoma" w:eastAsia="Tahoma" w:cs="Tahoma"/>
      <w:color w:val="000000"/>
      <w:sz w:val="24"/>
      <w:szCs w:val="24"/>
      <w:u w:val="none"/>
    </w:rPr>
  </w:style>
  <w:style w:type="paragraph" w:styleId="10">
    <w:name w:val="List Paragraph"/>
    <w:basedOn w:val="1"/>
    <w:autoRedefine/>
    <w:qFormat/>
    <w:uiPriority w:val="34"/>
    <w:pPr>
      <w:ind w:firstLine="420" w:firstLineChars="200"/>
    </w:pPr>
  </w:style>
  <w:style w:type="character" w:customStyle="1" w:styleId="11">
    <w:name w:val="批注框文本 Char"/>
    <w:basedOn w:val="7"/>
    <w:link w:val="2"/>
    <w:autoRedefine/>
    <w:qFormat/>
    <w:uiPriority w:val="0"/>
    <w:rPr>
      <w:rFonts w:asciiTheme="minorHAnsi" w:hAnsiTheme="minorHAnsi" w:eastAsiaTheme="minorEastAsia" w:cstheme="minorBidi"/>
      <w:kern w:val="2"/>
      <w:sz w:val="18"/>
      <w:szCs w:val="18"/>
    </w:rPr>
  </w:style>
  <w:style w:type="character" w:customStyle="1" w:styleId="12">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13">
    <w:name w:val="页脚 Char"/>
    <w:basedOn w:val="7"/>
    <w:link w:val="3"/>
    <w:autoRedefine/>
    <w:qFormat/>
    <w:uiPriority w:val="0"/>
    <w:rPr>
      <w:rFonts w:asciiTheme="minorHAnsi" w:hAnsiTheme="minorHAnsi" w:eastAsiaTheme="minorEastAsia" w:cstheme="minorBidi"/>
      <w:kern w:val="2"/>
      <w:sz w:val="18"/>
      <w:szCs w:val="18"/>
    </w:rPr>
  </w:style>
  <w:style w:type="character" w:customStyle="1" w:styleId="14">
    <w:name w:val="15"/>
    <w:basedOn w:val="7"/>
    <w:autoRedefine/>
    <w:qFormat/>
    <w:uiPriority w:val="0"/>
    <w:rPr>
      <w:rFonts w:hint="default" w:ascii="Tahoma" w:hAnsi="Tahoma" w:cs="Tahoma"/>
      <w:color w:val="000000"/>
      <w:sz w:val="24"/>
      <w:szCs w:val="24"/>
    </w:rPr>
  </w:style>
  <w:style w:type="character" w:customStyle="1" w:styleId="15">
    <w:name w:val="16"/>
    <w:basedOn w:val="7"/>
    <w:autoRedefine/>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2789</Words>
  <Characters>3147</Characters>
  <Lines>48</Lines>
  <Paragraphs>13</Paragraphs>
  <TotalTime>13</TotalTime>
  <ScaleCrop>false</ScaleCrop>
  <LinksUpToDate>false</LinksUpToDate>
  <CharactersWithSpaces>3221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2019-12-02T13:52:00Z</dcterms:created>
  <dc:creator>国国</dc:creator>
  <cp:lastModifiedBy>沈祥喜</cp:lastModifiedBy>
  <cp:lastPrinted>2019-12-06T00:24:00Z</cp:lastPrinted>
  <dcterms:modified xsi:type="dcterms:W3CDTF">2024-05-31T08:55:30Z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FFE5AD5F5D2E41A999B15F366C05B5EE</vt:lpwstr>
  </property>
</Properties>
</file>