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b/>
          <w:bCs/>
          <w:sz w:val="60"/>
          <w:szCs w:val="60"/>
          <w:highlight w:val="none"/>
        </w:rPr>
      </w:pPr>
    </w:p>
    <w:p>
      <w:pPr>
        <w:spacing w:line="360" w:lineRule="auto"/>
        <w:rPr>
          <w:rFonts w:hint="eastAsia"/>
          <w:b/>
          <w:bCs/>
          <w:sz w:val="60"/>
          <w:szCs w:val="60"/>
          <w:highlight w:val="none"/>
        </w:rPr>
      </w:pPr>
    </w:p>
    <w:p>
      <w:pPr>
        <w:spacing w:line="360" w:lineRule="auto"/>
        <w:rPr>
          <w:rFonts w:hint="eastAsia" w:eastAsia="宋体"/>
          <w:b/>
          <w:bCs/>
          <w:sz w:val="60"/>
          <w:szCs w:val="60"/>
          <w:highlight w:val="none"/>
          <w:lang w:val="en-US" w:eastAsia="zh-CN"/>
        </w:rPr>
      </w:pPr>
      <w:r>
        <w:rPr>
          <w:rFonts w:hint="eastAsia"/>
          <w:b/>
          <w:bCs/>
          <w:sz w:val="60"/>
          <w:szCs w:val="60"/>
          <w:highlight w:val="none"/>
          <w:lang w:val="en-US" w:eastAsia="zh-CN"/>
        </w:rPr>
        <w:t xml:space="preserve"> </w:t>
      </w:r>
    </w:p>
    <w:p>
      <w:pPr>
        <w:spacing w:line="360" w:lineRule="auto"/>
        <w:jc w:val="center"/>
        <w:rPr>
          <w:rFonts w:hint="eastAsia" w:ascii="宋体" w:hAnsi="宋体" w:eastAsia="宋体"/>
          <w:b/>
          <w:bCs/>
          <w:sz w:val="60"/>
          <w:szCs w:val="60"/>
          <w:highlight w:val="none"/>
          <w:lang w:eastAsia="zh-CN"/>
        </w:rPr>
      </w:pPr>
      <w:r>
        <w:rPr>
          <w:rFonts w:hint="eastAsia"/>
          <w:b/>
          <w:bCs/>
          <w:sz w:val="60"/>
          <w:szCs w:val="60"/>
          <w:highlight w:val="none"/>
          <w:lang w:eastAsia="zh-CN"/>
        </w:rPr>
        <w:t>常州市金坛区教育基本建设与装备管理中心</w:t>
      </w:r>
      <w:bookmarkStart w:id="0" w:name="_Toc10152"/>
      <w:bookmarkStart w:id="1" w:name="_Toc31214"/>
      <w:r>
        <w:rPr>
          <w:rFonts w:hint="eastAsia"/>
          <w:b/>
          <w:bCs/>
          <w:sz w:val="60"/>
          <w:szCs w:val="60"/>
          <w:highlight w:val="none"/>
          <w:lang w:eastAsia="zh-CN"/>
        </w:rPr>
        <w:t>资格预审文件</w:t>
      </w:r>
      <w:bookmarkEnd w:id="0"/>
      <w:bookmarkEnd w:id="1"/>
    </w:p>
    <w:p>
      <w:pPr>
        <w:spacing w:line="360" w:lineRule="auto"/>
        <w:jc w:val="center"/>
        <w:rPr>
          <w:rFonts w:ascii="宋体" w:hAnsi="宋体"/>
          <w:b/>
          <w:bCs/>
          <w:sz w:val="60"/>
          <w:szCs w:val="60"/>
          <w:highlight w:val="none"/>
        </w:rPr>
      </w:pPr>
    </w:p>
    <w:p>
      <w:pPr>
        <w:pStyle w:val="2"/>
      </w:pPr>
      <w:bookmarkStart w:id="31" w:name="_GoBack"/>
      <w:bookmarkEnd w:id="31"/>
    </w:p>
    <w:p>
      <w:pPr>
        <w:tabs>
          <w:tab w:val="left" w:pos="5609"/>
        </w:tabs>
        <w:spacing w:line="360" w:lineRule="auto"/>
        <w:jc w:val="left"/>
        <w:rPr>
          <w:rFonts w:hint="eastAsia" w:eastAsia="宋体"/>
          <w:bCs/>
          <w:sz w:val="36"/>
          <w:szCs w:val="36"/>
          <w:highlight w:val="none"/>
          <w:lang w:eastAsia="zh-CN"/>
        </w:rPr>
      </w:pPr>
      <w:r>
        <w:rPr>
          <w:bCs/>
          <w:sz w:val="36"/>
          <w:szCs w:val="36"/>
          <w:highlight w:val="none"/>
        </w:rPr>
        <w:t>项目名称：</w:t>
      </w:r>
      <w:r>
        <w:rPr>
          <w:rFonts w:hint="eastAsia"/>
          <w:bCs/>
          <w:sz w:val="36"/>
          <w:szCs w:val="36"/>
          <w:highlight w:val="none"/>
          <w:lang w:eastAsia="zh-CN"/>
        </w:rPr>
        <w:t>常州市金坛区公办中小学幼儿园食堂食用油和调味品配送服务</w:t>
      </w:r>
    </w:p>
    <w:p>
      <w:pPr>
        <w:tabs>
          <w:tab w:val="left" w:pos="3240"/>
          <w:tab w:val="left" w:pos="3420"/>
        </w:tabs>
        <w:spacing w:line="360" w:lineRule="auto"/>
        <w:jc w:val="left"/>
        <w:rPr>
          <w:rFonts w:hint="eastAsia"/>
          <w:bCs/>
          <w:sz w:val="36"/>
          <w:szCs w:val="36"/>
          <w:highlight w:val="none"/>
        </w:rPr>
      </w:pPr>
      <w:r>
        <w:rPr>
          <w:bCs/>
          <w:sz w:val="36"/>
          <w:szCs w:val="36"/>
          <w:highlight w:val="none"/>
        </w:rPr>
        <w:t>项目编号：</w:t>
      </w:r>
      <w:r>
        <w:rPr>
          <w:rFonts w:hint="eastAsia"/>
          <w:bCs/>
          <w:sz w:val="36"/>
          <w:szCs w:val="36"/>
          <w:highlight w:val="none"/>
          <w:lang w:eastAsia="zh-CN"/>
        </w:rPr>
        <w:t>JSXD[教磋]2024-004号</w:t>
      </w:r>
      <w:r>
        <w:rPr>
          <w:rFonts w:hint="eastAsia"/>
          <w:bCs/>
          <w:sz w:val="36"/>
          <w:szCs w:val="36"/>
          <w:highlight w:val="none"/>
        </w:rPr>
        <w:t xml:space="preserve"> </w:t>
      </w:r>
    </w:p>
    <w:p>
      <w:pPr>
        <w:tabs>
          <w:tab w:val="left" w:pos="3240"/>
          <w:tab w:val="left" w:pos="3420"/>
        </w:tabs>
        <w:spacing w:line="360" w:lineRule="auto"/>
        <w:jc w:val="left"/>
        <w:rPr>
          <w:rFonts w:hint="eastAsia" w:eastAsia="宋体"/>
          <w:bCs/>
          <w:sz w:val="36"/>
          <w:szCs w:val="36"/>
          <w:highlight w:val="none"/>
          <w:lang w:eastAsia="zh-CN"/>
        </w:rPr>
      </w:pPr>
      <w:r>
        <w:rPr>
          <w:bCs/>
          <w:sz w:val="36"/>
          <w:szCs w:val="36"/>
          <w:highlight w:val="none"/>
        </w:rPr>
        <w:t>采购人：</w:t>
      </w:r>
      <w:r>
        <w:rPr>
          <w:rFonts w:hint="eastAsia"/>
          <w:bCs/>
          <w:sz w:val="36"/>
          <w:szCs w:val="36"/>
          <w:highlight w:val="none"/>
          <w:lang w:eastAsia="zh-CN"/>
        </w:rPr>
        <w:t>常州市金坛区教育基本建设与装备管理中心</w:t>
      </w:r>
    </w:p>
    <w:p>
      <w:pPr>
        <w:tabs>
          <w:tab w:val="left" w:pos="3240"/>
          <w:tab w:val="left" w:pos="3420"/>
        </w:tabs>
        <w:spacing w:line="360" w:lineRule="auto"/>
        <w:jc w:val="left"/>
        <w:rPr>
          <w:rFonts w:hint="eastAsia" w:eastAsia="宋体"/>
          <w:bCs/>
          <w:sz w:val="36"/>
          <w:szCs w:val="36"/>
          <w:highlight w:val="none"/>
          <w:lang w:eastAsia="zh-CN"/>
        </w:rPr>
      </w:pPr>
      <w:r>
        <w:rPr>
          <w:rFonts w:hint="eastAsia"/>
          <w:bCs/>
          <w:sz w:val="36"/>
          <w:szCs w:val="36"/>
          <w:highlight w:val="none"/>
        </w:rPr>
        <w:t>采购</w:t>
      </w:r>
      <w:r>
        <w:rPr>
          <w:bCs/>
          <w:sz w:val="36"/>
          <w:szCs w:val="36"/>
          <w:highlight w:val="none"/>
        </w:rPr>
        <w:t>代理机构：</w:t>
      </w:r>
      <w:r>
        <w:rPr>
          <w:rFonts w:hint="eastAsia"/>
          <w:bCs/>
          <w:sz w:val="36"/>
          <w:szCs w:val="36"/>
          <w:highlight w:val="none"/>
          <w:lang w:eastAsia="zh-CN"/>
        </w:rPr>
        <w:t>江苏信达建设工程咨询有限公司</w:t>
      </w:r>
    </w:p>
    <w:p>
      <w:pPr>
        <w:keepNext w:val="0"/>
        <w:keepLines w:val="0"/>
        <w:pageBreakBefore w:val="0"/>
        <w:kinsoku/>
        <w:wordWrap/>
        <w:overflowPunct/>
        <w:topLinePunct w:val="0"/>
        <w:autoSpaceDE/>
        <w:autoSpaceDN/>
        <w:bidi w:val="0"/>
        <w:adjustRightInd/>
        <w:snapToGrid/>
        <w:spacing w:line="520" w:lineRule="exact"/>
        <w:jc w:val="center"/>
        <w:textAlignment w:val="auto"/>
        <w:rPr>
          <w:rFonts w:ascii="宋体" w:hAnsi="宋体" w:eastAsia="宋体" w:cs="Times New Roman"/>
          <w:b/>
          <w:bCs/>
          <w:kern w:val="2"/>
          <w:sz w:val="30"/>
          <w:szCs w:val="30"/>
          <w:highlight w:val="none"/>
          <w:lang w:val="en-US" w:eastAsia="zh-CN" w:bidi="ar-SA"/>
        </w:rPr>
        <w:sectPr>
          <w:pgSz w:w="11906" w:h="16838"/>
          <w:pgMar w:top="850" w:right="1800" w:bottom="850" w:left="1800" w:header="851" w:footer="992" w:gutter="0"/>
          <w:cols w:space="425" w:num="1"/>
          <w:docGrid w:type="lines" w:linePitch="312" w:charSpace="0"/>
        </w:sectPr>
      </w:pPr>
    </w:p>
    <w:sdt>
      <w:sdtPr>
        <w:rPr>
          <w:rFonts w:ascii="宋体" w:hAnsi="宋体" w:eastAsia="宋体" w:cs="Times New Roman"/>
          <w:b/>
          <w:bCs/>
          <w:kern w:val="2"/>
          <w:sz w:val="30"/>
          <w:szCs w:val="30"/>
          <w:highlight w:val="none"/>
          <w:lang w:val="en-US" w:eastAsia="zh-CN" w:bidi="ar-SA"/>
        </w:rPr>
        <w:id w:val="147453132"/>
        <w15:color w:val="DBDBDB"/>
        <w:docPartObj>
          <w:docPartGallery w:val="Table of Contents"/>
          <w:docPartUnique/>
        </w:docPartObj>
      </w:sdtPr>
      <w:sdtEndPr>
        <w:rPr>
          <w:rFonts w:ascii="Times New Roman" w:hAnsi="Times New Roman" w:eastAsia="宋体" w:cs="Times New Roman"/>
          <w:b/>
          <w:bCs/>
          <w:kern w:val="2"/>
          <w:sz w:val="24"/>
          <w:szCs w:val="20"/>
          <w:highlight w:val="none"/>
          <w:lang w:val="en-US" w:eastAsia="zh-CN" w:bidi="ar-SA"/>
        </w:rPr>
      </w:sdtEndPr>
      <w:sdtContent>
        <w:p>
          <w:pPr>
            <w:keepNext w:val="0"/>
            <w:keepLines w:val="0"/>
            <w:pageBreakBefore w:val="0"/>
            <w:kinsoku/>
            <w:wordWrap/>
            <w:overflowPunct/>
            <w:topLinePunct w:val="0"/>
            <w:autoSpaceDE/>
            <w:autoSpaceDN/>
            <w:bidi w:val="0"/>
            <w:adjustRightInd/>
            <w:snapToGrid/>
            <w:spacing w:line="520" w:lineRule="exact"/>
            <w:jc w:val="center"/>
            <w:textAlignment w:val="auto"/>
            <w:rPr>
              <w:b/>
              <w:bCs/>
              <w:sz w:val="30"/>
              <w:szCs w:val="30"/>
              <w:highlight w:val="none"/>
            </w:rPr>
          </w:pPr>
          <w:r>
            <w:rPr>
              <w:rFonts w:ascii="宋体" w:hAnsi="宋体" w:eastAsia="宋体"/>
              <w:b/>
              <w:bCs/>
              <w:sz w:val="30"/>
              <w:szCs w:val="30"/>
              <w:highlight w:val="none"/>
            </w:rPr>
            <w:t>目录</w:t>
          </w:r>
        </w:p>
        <w:p>
          <w:pPr>
            <w:pStyle w:val="11"/>
            <w:tabs>
              <w:tab w:val="right" w:leader="dot" w:pos="8306"/>
              <w:tab w:val="clear" w:pos="1050"/>
              <w:tab w:val="clear" w:pos="8296"/>
            </w:tabs>
            <w:rPr>
              <w:rFonts w:hint="eastAsia" w:ascii="黑体" w:hAnsi="黑体" w:eastAsia="黑体" w:cs="黑体"/>
              <w:highlight w:val="none"/>
            </w:rPr>
          </w:pPr>
          <w:r>
            <w:rPr>
              <w:rFonts w:hint="eastAsia" w:ascii="黑体" w:hAnsi="黑体" w:eastAsia="黑体" w:cs="黑体"/>
              <w:sz w:val="24"/>
              <w:szCs w:val="24"/>
              <w:highlight w:val="none"/>
            </w:rPr>
            <w:fldChar w:fldCharType="begin"/>
          </w:r>
          <w:r>
            <w:rPr>
              <w:rFonts w:hint="eastAsia" w:ascii="黑体" w:hAnsi="黑体" w:eastAsia="黑体" w:cs="黑体"/>
              <w:sz w:val="24"/>
              <w:szCs w:val="24"/>
              <w:highlight w:val="none"/>
            </w:rPr>
            <w:instrText xml:space="preserve">TOC \o "1-1" \h \u </w:instrText>
          </w:r>
          <w:r>
            <w:rPr>
              <w:rFonts w:hint="eastAsia" w:ascii="黑体" w:hAnsi="黑体" w:eastAsia="黑体" w:cs="黑体"/>
              <w:sz w:val="24"/>
              <w:szCs w:val="24"/>
              <w:highlight w:val="none"/>
            </w:rPr>
            <w:fldChar w:fldCharType="separate"/>
          </w:r>
          <w:r>
            <w:rPr>
              <w:rFonts w:hint="eastAsia" w:ascii="黑体" w:hAnsi="黑体" w:eastAsia="黑体" w:cs="黑体"/>
              <w:szCs w:val="24"/>
              <w:highlight w:val="none"/>
            </w:rPr>
            <w:fldChar w:fldCharType="begin"/>
          </w:r>
          <w:r>
            <w:rPr>
              <w:rFonts w:hint="eastAsia" w:ascii="黑体" w:hAnsi="黑体" w:eastAsia="黑体" w:cs="黑体"/>
              <w:szCs w:val="24"/>
              <w:highlight w:val="none"/>
            </w:rPr>
            <w:instrText xml:space="preserve"> HYPERLINK \l _Toc15462 </w:instrText>
          </w:r>
          <w:r>
            <w:rPr>
              <w:rFonts w:hint="eastAsia" w:ascii="黑体" w:hAnsi="黑体" w:eastAsia="黑体" w:cs="黑体"/>
              <w:szCs w:val="24"/>
              <w:highlight w:val="none"/>
            </w:rPr>
            <w:fldChar w:fldCharType="separate"/>
          </w:r>
          <w:r>
            <w:rPr>
              <w:rFonts w:hint="eastAsia" w:ascii="黑体" w:hAnsi="黑体" w:eastAsia="黑体" w:cs="黑体"/>
              <w:szCs w:val="36"/>
              <w:highlight w:val="none"/>
              <w:lang w:eastAsia="zh-CN"/>
            </w:rPr>
            <w:t>第一章</w:t>
          </w:r>
          <w:r>
            <w:rPr>
              <w:rFonts w:hint="eastAsia" w:ascii="黑体" w:hAnsi="黑体" w:eastAsia="黑体" w:cs="黑体"/>
              <w:szCs w:val="36"/>
              <w:highlight w:val="none"/>
              <w:lang w:val="en-US" w:eastAsia="zh-CN"/>
            </w:rPr>
            <w:t xml:space="preserve"> </w:t>
          </w:r>
          <w:r>
            <w:rPr>
              <w:rFonts w:hint="eastAsia" w:ascii="黑体" w:hAnsi="黑体" w:eastAsia="黑体" w:cs="黑体"/>
              <w:szCs w:val="36"/>
              <w:highlight w:val="none"/>
            </w:rPr>
            <w:t>采购邀请</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_Toc15462 \h </w:instrText>
          </w:r>
          <w:r>
            <w:rPr>
              <w:rFonts w:hint="eastAsia" w:ascii="黑体" w:hAnsi="黑体" w:eastAsia="黑体" w:cs="黑体"/>
              <w:highlight w:val="none"/>
            </w:rPr>
            <w:fldChar w:fldCharType="separate"/>
          </w:r>
          <w:r>
            <w:rPr>
              <w:rFonts w:hint="eastAsia" w:ascii="黑体" w:hAnsi="黑体" w:eastAsia="黑体" w:cs="黑体"/>
              <w:highlight w:val="none"/>
            </w:rPr>
            <w:t>2</w:t>
          </w:r>
          <w:r>
            <w:rPr>
              <w:rFonts w:hint="eastAsia" w:ascii="黑体" w:hAnsi="黑体" w:eastAsia="黑体" w:cs="黑体"/>
              <w:highlight w:val="none"/>
            </w:rPr>
            <w:fldChar w:fldCharType="end"/>
          </w:r>
          <w:r>
            <w:rPr>
              <w:rFonts w:hint="eastAsia" w:ascii="黑体" w:hAnsi="黑体" w:eastAsia="黑体" w:cs="黑体"/>
              <w:szCs w:val="24"/>
              <w:highlight w:val="none"/>
            </w:rPr>
            <w:fldChar w:fldCharType="end"/>
          </w:r>
        </w:p>
        <w:p>
          <w:pPr>
            <w:pStyle w:val="11"/>
            <w:tabs>
              <w:tab w:val="right" w:leader="dot" w:pos="8306"/>
              <w:tab w:val="clear" w:pos="1050"/>
              <w:tab w:val="clear" w:pos="8296"/>
            </w:tabs>
            <w:rPr>
              <w:rFonts w:hint="eastAsia" w:ascii="黑体" w:hAnsi="黑体" w:eastAsia="黑体" w:cs="黑体"/>
              <w:highlight w:val="none"/>
            </w:rPr>
          </w:pPr>
          <w:r>
            <w:rPr>
              <w:rFonts w:hint="eastAsia" w:ascii="黑体" w:hAnsi="黑体" w:eastAsia="黑体" w:cs="黑体"/>
              <w:szCs w:val="24"/>
              <w:highlight w:val="none"/>
            </w:rPr>
            <w:fldChar w:fldCharType="begin"/>
          </w:r>
          <w:r>
            <w:rPr>
              <w:rFonts w:hint="eastAsia" w:ascii="黑体" w:hAnsi="黑体" w:eastAsia="黑体" w:cs="黑体"/>
              <w:szCs w:val="24"/>
              <w:highlight w:val="none"/>
            </w:rPr>
            <w:instrText xml:space="preserve"> HYPERLINK \l _Toc4877 </w:instrText>
          </w:r>
          <w:r>
            <w:rPr>
              <w:rFonts w:hint="eastAsia" w:ascii="黑体" w:hAnsi="黑体" w:eastAsia="黑体" w:cs="黑体"/>
              <w:szCs w:val="24"/>
              <w:highlight w:val="none"/>
            </w:rPr>
            <w:fldChar w:fldCharType="separate"/>
          </w:r>
          <w:r>
            <w:rPr>
              <w:rFonts w:hint="eastAsia" w:ascii="黑体" w:hAnsi="黑体" w:eastAsia="黑体" w:cs="黑体"/>
              <w:bCs/>
              <w:szCs w:val="44"/>
              <w:highlight w:val="none"/>
              <w:lang w:val="en-US" w:eastAsia="zh-CN"/>
            </w:rPr>
            <w:t>第二章 资格审查办法</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_Toc4877 \h </w:instrText>
          </w:r>
          <w:r>
            <w:rPr>
              <w:rFonts w:hint="eastAsia" w:ascii="黑体" w:hAnsi="黑体" w:eastAsia="黑体" w:cs="黑体"/>
              <w:highlight w:val="none"/>
            </w:rPr>
            <w:fldChar w:fldCharType="separate"/>
          </w:r>
          <w:r>
            <w:rPr>
              <w:rFonts w:hint="eastAsia" w:ascii="黑体" w:hAnsi="黑体" w:eastAsia="黑体" w:cs="黑体"/>
              <w:highlight w:val="none"/>
            </w:rPr>
            <w:t>5</w:t>
          </w:r>
          <w:r>
            <w:rPr>
              <w:rFonts w:hint="eastAsia" w:ascii="黑体" w:hAnsi="黑体" w:eastAsia="黑体" w:cs="黑体"/>
              <w:highlight w:val="none"/>
            </w:rPr>
            <w:fldChar w:fldCharType="end"/>
          </w:r>
          <w:r>
            <w:rPr>
              <w:rFonts w:hint="eastAsia" w:ascii="黑体" w:hAnsi="黑体" w:eastAsia="黑体" w:cs="黑体"/>
              <w:szCs w:val="24"/>
              <w:highlight w:val="none"/>
            </w:rPr>
            <w:fldChar w:fldCharType="end"/>
          </w:r>
        </w:p>
        <w:p>
          <w:pPr>
            <w:pStyle w:val="11"/>
            <w:tabs>
              <w:tab w:val="right" w:leader="dot" w:pos="8306"/>
              <w:tab w:val="clear" w:pos="1050"/>
              <w:tab w:val="clear" w:pos="8296"/>
            </w:tabs>
            <w:rPr>
              <w:rFonts w:hint="eastAsia" w:ascii="黑体" w:hAnsi="黑体" w:eastAsia="黑体" w:cs="黑体"/>
              <w:highlight w:val="none"/>
            </w:rPr>
          </w:pPr>
          <w:r>
            <w:rPr>
              <w:rFonts w:hint="eastAsia" w:ascii="黑体" w:hAnsi="黑体" w:eastAsia="黑体" w:cs="黑体"/>
              <w:szCs w:val="24"/>
              <w:highlight w:val="none"/>
            </w:rPr>
            <w:fldChar w:fldCharType="begin"/>
          </w:r>
          <w:r>
            <w:rPr>
              <w:rFonts w:hint="eastAsia" w:ascii="黑体" w:hAnsi="黑体" w:eastAsia="黑体" w:cs="黑体"/>
              <w:szCs w:val="24"/>
              <w:highlight w:val="none"/>
            </w:rPr>
            <w:instrText xml:space="preserve"> HYPERLINK \l _Toc28001 </w:instrText>
          </w:r>
          <w:r>
            <w:rPr>
              <w:rFonts w:hint="eastAsia" w:ascii="黑体" w:hAnsi="黑体" w:eastAsia="黑体" w:cs="黑体"/>
              <w:szCs w:val="24"/>
              <w:highlight w:val="none"/>
            </w:rPr>
            <w:fldChar w:fldCharType="separate"/>
          </w:r>
          <w:r>
            <w:rPr>
              <w:rFonts w:hint="eastAsia" w:ascii="黑体" w:hAnsi="黑体" w:eastAsia="黑体" w:cs="黑体"/>
              <w:bCs/>
              <w:szCs w:val="44"/>
              <w:highlight w:val="none"/>
              <w:lang w:val="en-US" w:eastAsia="zh-CN"/>
            </w:rPr>
            <w:t>第三章 采购需求</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_Toc28001 \h </w:instrText>
          </w:r>
          <w:r>
            <w:rPr>
              <w:rFonts w:hint="eastAsia" w:ascii="黑体" w:hAnsi="黑体" w:eastAsia="黑体" w:cs="黑体"/>
              <w:highlight w:val="none"/>
            </w:rPr>
            <w:fldChar w:fldCharType="separate"/>
          </w:r>
          <w:r>
            <w:rPr>
              <w:rFonts w:hint="eastAsia" w:ascii="黑体" w:hAnsi="黑体" w:eastAsia="黑体" w:cs="黑体"/>
              <w:highlight w:val="none"/>
            </w:rPr>
            <w:t>7</w:t>
          </w:r>
          <w:r>
            <w:rPr>
              <w:rFonts w:hint="eastAsia" w:ascii="黑体" w:hAnsi="黑体" w:eastAsia="黑体" w:cs="黑体"/>
              <w:highlight w:val="none"/>
            </w:rPr>
            <w:fldChar w:fldCharType="end"/>
          </w:r>
          <w:r>
            <w:rPr>
              <w:rFonts w:hint="eastAsia" w:ascii="黑体" w:hAnsi="黑体" w:eastAsia="黑体" w:cs="黑体"/>
              <w:szCs w:val="24"/>
              <w:highlight w:val="none"/>
            </w:rPr>
            <w:fldChar w:fldCharType="end"/>
          </w:r>
        </w:p>
        <w:p>
          <w:pPr>
            <w:pStyle w:val="11"/>
            <w:tabs>
              <w:tab w:val="right" w:leader="dot" w:pos="8306"/>
              <w:tab w:val="clear" w:pos="1050"/>
              <w:tab w:val="clear" w:pos="8296"/>
            </w:tabs>
            <w:rPr>
              <w:rFonts w:hint="eastAsia" w:ascii="黑体" w:hAnsi="黑体" w:eastAsia="黑体" w:cs="黑体"/>
              <w:highlight w:val="none"/>
            </w:rPr>
          </w:pPr>
          <w:r>
            <w:rPr>
              <w:rFonts w:hint="eastAsia" w:ascii="黑体" w:hAnsi="黑体" w:eastAsia="黑体" w:cs="黑体"/>
              <w:szCs w:val="24"/>
              <w:highlight w:val="none"/>
            </w:rPr>
            <w:fldChar w:fldCharType="begin"/>
          </w:r>
          <w:r>
            <w:rPr>
              <w:rFonts w:hint="eastAsia" w:ascii="黑体" w:hAnsi="黑体" w:eastAsia="黑体" w:cs="黑体"/>
              <w:szCs w:val="24"/>
              <w:highlight w:val="none"/>
            </w:rPr>
            <w:instrText xml:space="preserve"> HYPERLINK \l _Toc11452 </w:instrText>
          </w:r>
          <w:r>
            <w:rPr>
              <w:rFonts w:hint="eastAsia" w:ascii="黑体" w:hAnsi="黑体" w:eastAsia="黑体" w:cs="黑体"/>
              <w:szCs w:val="24"/>
              <w:highlight w:val="none"/>
            </w:rPr>
            <w:fldChar w:fldCharType="separate"/>
          </w:r>
          <w:r>
            <w:rPr>
              <w:rFonts w:hint="eastAsia" w:ascii="黑体" w:hAnsi="黑体" w:eastAsia="黑体" w:cs="黑体"/>
              <w:bCs/>
              <w:szCs w:val="44"/>
              <w:highlight w:val="none"/>
              <w:lang w:val="en-US" w:eastAsia="zh-CN"/>
            </w:rPr>
            <w:t>第四章 资格审查文件格式</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_Toc11452 \h </w:instrText>
          </w:r>
          <w:r>
            <w:rPr>
              <w:rFonts w:hint="eastAsia" w:ascii="黑体" w:hAnsi="黑体" w:eastAsia="黑体" w:cs="黑体"/>
              <w:highlight w:val="none"/>
            </w:rPr>
            <w:fldChar w:fldCharType="separate"/>
          </w:r>
          <w:r>
            <w:rPr>
              <w:rFonts w:hint="eastAsia" w:ascii="黑体" w:hAnsi="黑体" w:eastAsia="黑体" w:cs="黑体"/>
              <w:highlight w:val="none"/>
            </w:rPr>
            <w:t>12</w:t>
          </w:r>
          <w:r>
            <w:rPr>
              <w:rFonts w:hint="eastAsia" w:ascii="黑体" w:hAnsi="黑体" w:eastAsia="黑体" w:cs="黑体"/>
              <w:highlight w:val="none"/>
            </w:rPr>
            <w:fldChar w:fldCharType="end"/>
          </w:r>
          <w:r>
            <w:rPr>
              <w:rFonts w:hint="eastAsia" w:ascii="黑体" w:hAnsi="黑体" w:eastAsia="黑体" w:cs="黑体"/>
              <w:szCs w:val="24"/>
              <w:highlight w:val="none"/>
            </w:rPr>
            <w:fldChar w:fldCharType="end"/>
          </w:r>
        </w:p>
        <w:p>
          <w:pPr>
            <w:pStyle w:val="13"/>
            <w:keepNext w:val="0"/>
            <w:keepLines w:val="0"/>
            <w:pageBreakBefore w:val="0"/>
            <w:kinsoku/>
            <w:wordWrap/>
            <w:overflowPunct/>
            <w:topLinePunct w:val="0"/>
            <w:autoSpaceDE/>
            <w:autoSpaceDN/>
            <w:bidi w:val="0"/>
            <w:adjustRightInd/>
            <w:snapToGrid/>
            <w:spacing w:line="520" w:lineRule="exact"/>
            <w:textAlignment w:val="auto"/>
            <w:rPr>
              <w:highlight w:val="none"/>
            </w:rPr>
          </w:pPr>
          <w:r>
            <w:rPr>
              <w:rFonts w:hint="eastAsia" w:ascii="黑体" w:hAnsi="黑体" w:eastAsia="黑体" w:cs="黑体"/>
              <w:szCs w:val="24"/>
              <w:highlight w:val="none"/>
            </w:rPr>
            <w:fldChar w:fldCharType="end"/>
          </w:r>
        </w:p>
      </w:sdtContent>
    </w:sdt>
    <w:p>
      <w:pPr>
        <w:rPr>
          <w:rFonts w:hint="eastAsia"/>
          <w:b/>
          <w:sz w:val="36"/>
          <w:szCs w:val="36"/>
          <w:highlight w:val="none"/>
          <w:lang w:eastAsia="zh-CN"/>
        </w:rPr>
      </w:pPr>
      <w:r>
        <w:rPr>
          <w:rFonts w:hint="eastAsia"/>
          <w:b/>
          <w:sz w:val="36"/>
          <w:szCs w:val="36"/>
          <w:highlight w:val="none"/>
          <w:lang w:eastAsia="zh-CN"/>
        </w:rPr>
        <w:br w:type="page"/>
      </w:r>
    </w:p>
    <w:p>
      <w:pPr>
        <w:jc w:val="center"/>
        <w:outlineLvl w:val="0"/>
        <w:rPr>
          <w:b/>
          <w:sz w:val="36"/>
          <w:szCs w:val="36"/>
          <w:highlight w:val="none"/>
        </w:rPr>
      </w:pPr>
      <w:bookmarkStart w:id="2" w:name="_Toc15462"/>
      <w:r>
        <w:rPr>
          <w:rFonts w:hint="eastAsia"/>
          <w:b/>
          <w:sz w:val="36"/>
          <w:szCs w:val="36"/>
          <w:highlight w:val="none"/>
          <w:lang w:eastAsia="zh-CN"/>
        </w:rPr>
        <w:t>第一章</w:t>
      </w:r>
      <w:r>
        <w:rPr>
          <w:rFonts w:hint="eastAsia"/>
          <w:b/>
          <w:sz w:val="36"/>
          <w:szCs w:val="36"/>
          <w:highlight w:val="none"/>
          <w:lang w:val="en-US" w:eastAsia="zh-CN"/>
        </w:rPr>
        <w:t xml:space="preserve"> </w:t>
      </w:r>
      <w:r>
        <w:rPr>
          <w:b/>
          <w:sz w:val="36"/>
          <w:szCs w:val="36"/>
          <w:highlight w:val="none"/>
        </w:rPr>
        <w:t>采购邀请</w:t>
      </w:r>
      <w:bookmarkEnd w:id="2"/>
      <w:bookmarkStart w:id="3" w:name="_Toc28359002"/>
      <w:bookmarkStart w:id="4" w:name="_Toc35393790"/>
      <w:bookmarkStart w:id="5" w:name="_Hlk24379207"/>
      <w:bookmarkStart w:id="6" w:name="_Toc28359079"/>
      <w:bookmarkStart w:id="7" w:name="_Toc35393621"/>
    </w:p>
    <w:p>
      <w:pPr>
        <w:spacing w:line="360" w:lineRule="auto"/>
        <w:ind w:firstLine="480" w:firstLineChars="200"/>
        <w:rPr>
          <w:sz w:val="24"/>
          <w:highlight w:val="none"/>
        </w:rPr>
      </w:pPr>
    </w:p>
    <w:bookmarkEnd w:id="3"/>
    <w:bookmarkEnd w:id="4"/>
    <w:bookmarkEnd w:id="5"/>
    <w:bookmarkEnd w:id="6"/>
    <w:bookmarkEnd w:id="7"/>
    <w:p>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一、项目基本情况</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1.项目编号：JSXD[教磋]</w:t>
      </w:r>
      <w:r>
        <w:rPr>
          <w:rFonts w:hint="eastAsia" w:ascii="宋体" w:hAnsi="宋体" w:cs="宋体"/>
          <w:sz w:val="24"/>
          <w:highlight w:val="none"/>
          <w:lang w:eastAsia="zh-CN"/>
        </w:rPr>
        <w:t>2024-004号</w:t>
      </w:r>
      <w:r>
        <w:rPr>
          <w:rFonts w:hint="eastAsia" w:ascii="宋体" w:hAnsi="宋体" w:cs="宋体"/>
          <w:sz w:val="24"/>
          <w:highlight w:val="none"/>
        </w:rPr>
        <w:t xml:space="preserve"> </w:t>
      </w:r>
    </w:p>
    <w:p>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2.项目名称：</w:t>
      </w:r>
      <w:r>
        <w:rPr>
          <w:rFonts w:hint="eastAsia" w:ascii="宋体" w:hAnsi="宋体" w:cs="宋体"/>
          <w:sz w:val="24"/>
          <w:highlight w:val="none"/>
          <w:lang w:eastAsia="zh-CN"/>
        </w:rPr>
        <w:t>常州市金坛区公办中小学幼儿园食堂食用油和调味品配送服务</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3.采购方式：竞争性磋商</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4.采购需求：</w:t>
      </w:r>
    </w:p>
    <w:tbl>
      <w:tblPr>
        <w:tblStyle w:val="14"/>
        <w:tblW w:w="48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717"/>
        <w:gridCol w:w="1099"/>
        <w:gridCol w:w="4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6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包号</w:t>
            </w:r>
          </w:p>
        </w:tc>
        <w:tc>
          <w:tcPr>
            <w:tcW w:w="1033"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标的名称</w:t>
            </w:r>
          </w:p>
        </w:tc>
        <w:tc>
          <w:tcPr>
            <w:tcW w:w="661" w:type="pct"/>
            <w:noWrap w:val="0"/>
            <w:vAlign w:val="center"/>
          </w:tcPr>
          <w:p>
            <w:pPr>
              <w:jc w:val="center"/>
              <w:rPr>
                <w:rFonts w:hint="eastAsia" w:ascii="宋体" w:hAnsi="宋体" w:cs="宋体"/>
                <w:bCs/>
                <w:sz w:val="24"/>
                <w:highlight w:val="none"/>
              </w:rPr>
            </w:pPr>
            <w:r>
              <w:rPr>
                <w:rFonts w:hint="eastAsia" w:ascii="宋体" w:hAnsi="宋体" w:cs="宋体"/>
                <w:bCs/>
                <w:sz w:val="24"/>
                <w:highlight w:val="none"/>
              </w:rPr>
              <w:t>数量</w:t>
            </w:r>
          </w:p>
        </w:tc>
        <w:tc>
          <w:tcPr>
            <w:tcW w:w="2841" w:type="pct"/>
            <w:noWrap w:val="0"/>
            <w:vAlign w:val="center"/>
          </w:tcPr>
          <w:p>
            <w:pPr>
              <w:jc w:val="center"/>
              <w:rPr>
                <w:rFonts w:hint="eastAsia" w:ascii="宋体" w:hAnsi="宋体" w:cs="宋体"/>
                <w:sz w:val="24"/>
                <w:highlight w:val="none"/>
              </w:rPr>
            </w:pPr>
            <w:r>
              <w:rPr>
                <w:rFonts w:hint="eastAsia" w:ascii="宋体" w:hAnsi="宋体" w:cs="宋体"/>
                <w:sz w:val="24"/>
                <w:highlight w:val="none"/>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3" w:type="pct"/>
            <w:noWrap w:val="0"/>
            <w:vAlign w:val="center"/>
          </w:tcPr>
          <w:p>
            <w:pPr>
              <w:jc w:val="center"/>
              <w:rPr>
                <w:rFonts w:hint="eastAsia" w:ascii="宋体" w:hAnsi="宋体" w:cs="宋体"/>
                <w:bCs/>
                <w:color w:val="auto"/>
                <w:sz w:val="24"/>
                <w:highlight w:val="none"/>
              </w:rPr>
            </w:pPr>
            <w:r>
              <w:rPr>
                <w:rFonts w:hint="eastAsia" w:ascii="宋体" w:hAnsi="宋体" w:cs="宋体"/>
                <w:bCs/>
                <w:color w:val="auto"/>
                <w:sz w:val="24"/>
                <w:highlight w:val="none"/>
              </w:rPr>
              <w:t>01</w:t>
            </w:r>
          </w:p>
        </w:tc>
        <w:tc>
          <w:tcPr>
            <w:tcW w:w="1033" w:type="pct"/>
            <w:noWrap w:val="0"/>
            <w:vAlign w:val="center"/>
          </w:tcPr>
          <w:p>
            <w:pPr>
              <w:jc w:val="center"/>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lang w:eastAsia="zh-CN"/>
              </w:rPr>
              <w:t>常州市金坛区公办中小学幼儿园食堂食用油和调味品配送服务</w:t>
            </w:r>
          </w:p>
        </w:tc>
        <w:tc>
          <w:tcPr>
            <w:tcW w:w="661" w:type="pct"/>
            <w:noWrap w:val="0"/>
            <w:vAlign w:val="center"/>
          </w:tcPr>
          <w:p>
            <w:pPr>
              <w:jc w:val="center"/>
              <w:rPr>
                <w:rFonts w:hint="eastAsia" w:ascii="宋体" w:hAnsi="宋体" w:cs="宋体"/>
                <w:bCs/>
                <w:color w:val="auto"/>
                <w:sz w:val="24"/>
                <w:highlight w:val="none"/>
              </w:rPr>
            </w:pPr>
            <w:r>
              <w:rPr>
                <w:rFonts w:hint="eastAsia" w:ascii="宋体" w:hAnsi="宋体" w:cs="宋体"/>
                <w:bCs/>
                <w:color w:val="auto"/>
                <w:sz w:val="24"/>
                <w:highlight w:val="none"/>
              </w:rPr>
              <w:t>1</w:t>
            </w:r>
          </w:p>
        </w:tc>
        <w:tc>
          <w:tcPr>
            <w:tcW w:w="2841" w:type="pct"/>
            <w:noWrap w:val="0"/>
            <w:vAlign w:val="center"/>
          </w:tcPr>
          <w:p>
            <w:pPr>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1、常州市金坛区公办中小学幼儿园食堂食用油和调味品配送</w:t>
            </w:r>
            <w:r>
              <w:rPr>
                <w:rFonts w:hint="eastAsia" w:ascii="宋体" w:hAnsi="宋体" w:cs="宋体"/>
                <w:color w:val="auto"/>
                <w:kern w:val="0"/>
                <w:sz w:val="24"/>
                <w:highlight w:val="none"/>
                <w:lang w:eastAsia="zh-CN"/>
              </w:rPr>
              <w:t>。</w:t>
            </w:r>
          </w:p>
          <w:p>
            <w:pPr>
              <w:jc w:val="left"/>
              <w:rPr>
                <w:rFonts w:hint="eastAsia" w:ascii="宋体" w:hAnsi="宋体" w:cs="宋体"/>
                <w:color w:val="auto"/>
                <w:kern w:val="0"/>
                <w:sz w:val="24"/>
                <w:highlight w:val="none"/>
              </w:rPr>
            </w:pPr>
            <w:r>
              <w:rPr>
                <w:rFonts w:hint="eastAsia" w:ascii="宋体" w:hAnsi="宋体" w:cs="宋体"/>
                <w:color w:val="auto"/>
                <w:kern w:val="0"/>
                <w:sz w:val="24"/>
                <w:highlight w:val="none"/>
              </w:rPr>
              <w:t>2、配送范围为金坛区</w:t>
            </w:r>
            <w:r>
              <w:rPr>
                <w:rFonts w:hint="eastAsia" w:ascii="宋体" w:hAnsi="宋体" w:cs="宋体"/>
                <w:color w:val="auto"/>
                <w:kern w:val="0"/>
                <w:sz w:val="24"/>
                <w:highlight w:val="none"/>
                <w:lang w:val="en-US" w:eastAsia="zh-CN"/>
              </w:rPr>
              <w:t>公办中小学幼儿园</w:t>
            </w:r>
            <w:r>
              <w:rPr>
                <w:rFonts w:hint="eastAsia" w:ascii="宋体" w:hAnsi="宋体" w:cs="宋体"/>
                <w:color w:val="auto"/>
                <w:kern w:val="0"/>
                <w:sz w:val="24"/>
                <w:highlight w:val="none"/>
              </w:rPr>
              <w:t>。</w:t>
            </w:r>
          </w:p>
          <w:p>
            <w:pPr>
              <w:jc w:val="left"/>
              <w:rPr>
                <w:rFonts w:hint="eastAsia" w:ascii="宋体" w:hAnsi="宋体" w:cs="宋体"/>
                <w:color w:val="auto"/>
                <w:kern w:val="0"/>
                <w:sz w:val="24"/>
                <w:highlight w:val="none"/>
              </w:rPr>
            </w:pPr>
            <w:r>
              <w:rPr>
                <w:rFonts w:hint="eastAsia" w:ascii="宋体" w:hAnsi="宋体" w:cs="宋体"/>
                <w:color w:val="auto"/>
                <w:sz w:val="24"/>
                <w:highlight w:val="none"/>
                <w:lang w:val="en-US" w:eastAsia="zh-CN"/>
              </w:rPr>
              <w:t>3、本次采购资格审查合格且符合评审要求（即有效响应）的供应商数量为N：N≥6，成交供应商为5家；3≤N≤5，成交供应商为N-1家；N&lt;3，本项目废标。</w:t>
            </w:r>
          </w:p>
        </w:tc>
      </w:tr>
    </w:tbl>
    <w:p>
      <w:pPr>
        <w:spacing w:line="360" w:lineRule="auto"/>
        <w:ind w:firstLine="480" w:firstLineChars="200"/>
        <w:rPr>
          <w:rFonts w:hint="eastAsia" w:ascii="宋体" w:hAnsi="宋体" w:cs="宋体"/>
          <w:sz w:val="24"/>
          <w:highlight w:val="none"/>
          <w:u w:val="singl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.合同履行期限：</w:t>
      </w:r>
      <w:r>
        <w:rPr>
          <w:rFonts w:hint="eastAsia" w:ascii="宋体" w:hAnsi="宋体" w:cs="宋体"/>
          <w:color w:val="auto"/>
          <w:sz w:val="24"/>
          <w:highlight w:val="none"/>
          <w:lang w:eastAsia="zh-CN"/>
        </w:rPr>
        <w:t>合同签订之日起</w:t>
      </w:r>
      <w:r>
        <w:rPr>
          <w:rFonts w:hint="eastAsia" w:ascii="宋体" w:hAnsi="宋体" w:cs="宋体"/>
          <w:color w:val="auto"/>
          <w:sz w:val="24"/>
          <w:highlight w:val="none"/>
        </w:rPr>
        <w:t>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日止。供货期内因政策调整等不可抗拒因素需终止供货的，采购人提前通知中标</w:t>
      </w:r>
      <w:r>
        <w:rPr>
          <w:rFonts w:hint="eastAsia" w:ascii="宋体" w:hAnsi="宋体" w:cs="宋体"/>
          <w:color w:val="auto"/>
          <w:sz w:val="24"/>
          <w:highlight w:val="none"/>
          <w:lang w:eastAsia="zh-CN"/>
        </w:rPr>
        <w:t>入围</w:t>
      </w:r>
      <w:r>
        <w:rPr>
          <w:rFonts w:hint="eastAsia" w:ascii="宋体" w:hAnsi="宋体" w:cs="宋体"/>
          <w:color w:val="auto"/>
          <w:sz w:val="24"/>
          <w:highlight w:val="none"/>
        </w:rPr>
        <w:t>供应</w:t>
      </w:r>
      <w:r>
        <w:rPr>
          <w:rFonts w:hint="eastAsia" w:ascii="宋体" w:hAnsi="宋体" w:cs="宋体"/>
          <w:sz w:val="24"/>
          <w:highlight w:val="none"/>
        </w:rPr>
        <w:t xml:space="preserve">商。 </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6</w:t>
      </w:r>
      <w:r>
        <w:rPr>
          <w:rFonts w:hint="eastAsia" w:ascii="宋体" w:hAnsi="宋体" w:cs="宋体"/>
          <w:sz w:val="24"/>
          <w:highlight w:val="none"/>
        </w:rPr>
        <w:t>.本项目是否接受联合体：</w:t>
      </w:r>
      <w:r>
        <w:rPr>
          <w:rFonts w:hint="eastAsia" w:ascii="宋体" w:hAnsi="宋体" w:cs="宋体"/>
          <w:sz w:val="24"/>
          <w:highlight w:val="none"/>
        </w:rPr>
        <w:sym w:font="Wingdings 2" w:char="00A3"/>
      </w:r>
      <w:r>
        <w:rPr>
          <w:rFonts w:hint="eastAsia" w:ascii="宋体" w:hAnsi="宋体" w:cs="宋体"/>
          <w:sz w:val="24"/>
          <w:highlight w:val="none"/>
        </w:rPr>
        <w:t>是  ■否。</w:t>
      </w:r>
    </w:p>
    <w:p>
      <w:pPr>
        <w:spacing w:line="360" w:lineRule="auto"/>
        <w:ind w:firstLine="480" w:firstLineChars="200"/>
        <w:rPr>
          <w:rFonts w:hint="eastAsia" w:ascii="宋体" w:hAnsi="宋体" w:cs="宋体"/>
          <w:sz w:val="24"/>
          <w:highlight w:val="none"/>
        </w:rPr>
      </w:pPr>
      <w:bookmarkStart w:id="8" w:name="_Toc28359080"/>
      <w:bookmarkStart w:id="9" w:name="_Toc35393622"/>
      <w:bookmarkStart w:id="10" w:name="_Toc28359003"/>
      <w:bookmarkStart w:id="11" w:name="_Toc35393791"/>
      <w:r>
        <w:rPr>
          <w:rFonts w:hint="eastAsia" w:ascii="宋体" w:hAnsi="宋体" w:cs="宋体"/>
          <w:sz w:val="24"/>
          <w:highlight w:val="none"/>
          <w:lang w:val="en-US" w:eastAsia="zh-CN"/>
        </w:rPr>
        <w:t>7</w:t>
      </w:r>
      <w:r>
        <w:rPr>
          <w:rFonts w:hint="eastAsia" w:ascii="宋体" w:hAnsi="宋体" w:cs="宋体"/>
          <w:sz w:val="24"/>
          <w:highlight w:val="none"/>
        </w:rPr>
        <w:t>.本项目是否接受进口产品响应：</w:t>
      </w:r>
      <w:r>
        <w:rPr>
          <w:rFonts w:hint="eastAsia" w:ascii="宋体" w:hAnsi="宋体" w:cs="宋体"/>
          <w:sz w:val="24"/>
          <w:highlight w:val="none"/>
        </w:rPr>
        <w:sym w:font="Wingdings 2" w:char="00A3"/>
      </w:r>
      <w:r>
        <w:rPr>
          <w:rFonts w:hint="eastAsia" w:ascii="宋体" w:hAnsi="宋体" w:cs="宋体"/>
          <w:sz w:val="24"/>
          <w:highlight w:val="none"/>
        </w:rPr>
        <w:t>是  ■否。</w:t>
      </w:r>
    </w:p>
    <w:p>
      <w:pPr>
        <w:pStyle w:val="3"/>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的资格要求（须同时满足）</w:t>
      </w:r>
      <w:bookmarkEnd w:id="8"/>
      <w:bookmarkEnd w:id="9"/>
      <w:bookmarkEnd w:id="10"/>
      <w:bookmarkEnd w:id="11"/>
    </w:p>
    <w:p>
      <w:pPr>
        <w:spacing w:line="360" w:lineRule="auto"/>
        <w:ind w:firstLine="480" w:firstLineChars="200"/>
        <w:rPr>
          <w:rFonts w:hint="eastAsia"/>
          <w:sz w:val="24"/>
          <w:highlight w:val="none"/>
        </w:rPr>
      </w:pPr>
      <w:bookmarkStart w:id="12" w:name="_Toc35393792"/>
      <w:bookmarkStart w:id="13" w:name="_Toc35393623"/>
      <w:r>
        <w:rPr>
          <w:sz w:val="24"/>
          <w:highlight w:val="none"/>
        </w:rPr>
        <w:t>1.满足《中华人民共和国政府采购法》第二十二条规定</w:t>
      </w:r>
      <w:r>
        <w:rPr>
          <w:rFonts w:hint="eastAsia"/>
          <w:sz w:val="24"/>
          <w:highlight w:val="none"/>
        </w:rPr>
        <w:t>以及下列情形：</w:t>
      </w:r>
    </w:p>
    <w:p>
      <w:pPr>
        <w:spacing w:line="360" w:lineRule="auto"/>
        <w:ind w:firstLine="480" w:firstLineChars="200"/>
        <w:rPr>
          <w:sz w:val="24"/>
          <w:highlight w:val="none"/>
        </w:rPr>
      </w:pPr>
      <w:r>
        <w:rPr>
          <w:rFonts w:hint="eastAsia"/>
          <w:sz w:val="24"/>
          <w:highlight w:val="none"/>
        </w:rPr>
        <w:t>1.1未被“信用中国”网站（WWW.creditchina.gov.cn）或“中国政府采购网”网站（www.ccgp.gov.cn）列入失信被执行人、重大税收违法案件当事人名单、政府采购严重失信行为记录名单；</w:t>
      </w:r>
    </w:p>
    <w:p>
      <w:pPr>
        <w:spacing w:line="360" w:lineRule="auto"/>
        <w:ind w:firstLine="480" w:firstLineChars="200"/>
        <w:rPr>
          <w:sz w:val="24"/>
          <w:highlight w:val="none"/>
        </w:rPr>
      </w:pPr>
      <w:r>
        <w:rPr>
          <w:rFonts w:hint="eastAsia"/>
          <w:sz w:val="24"/>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pPr>
        <w:spacing w:line="360" w:lineRule="auto"/>
        <w:ind w:firstLine="480" w:firstLineChars="200"/>
        <w:rPr>
          <w:i/>
          <w:iCs/>
          <w:sz w:val="24"/>
          <w:highlight w:val="none"/>
          <w:u w:val="single"/>
        </w:rPr>
      </w:pPr>
      <w:r>
        <w:rPr>
          <w:rFonts w:hint="eastAsia"/>
          <w:sz w:val="24"/>
          <w:highlight w:val="none"/>
          <w:lang w:val="en-US" w:eastAsia="zh-CN"/>
        </w:rPr>
        <w:t>2</w:t>
      </w:r>
      <w:r>
        <w:rPr>
          <w:sz w:val="24"/>
          <w:highlight w:val="none"/>
        </w:rPr>
        <w:t>.本项目的特定资格要求：</w:t>
      </w:r>
    </w:p>
    <w:p>
      <w:pPr>
        <w:tabs>
          <w:tab w:val="left" w:pos="900"/>
          <w:tab w:val="left" w:pos="1134"/>
          <w:tab w:val="left" w:pos="1589"/>
          <w:tab w:val="left" w:pos="5521"/>
        </w:tabs>
        <w:snapToGrid w:val="0"/>
        <w:spacing w:line="360" w:lineRule="auto"/>
        <w:ind w:firstLine="480" w:firstLineChars="200"/>
        <w:rPr>
          <w:rFonts w:hint="eastAsia" w:ascii="宋体" w:hAnsi="宋体" w:cs="宋体"/>
          <w:sz w:val="24"/>
          <w:highlight w:val="none"/>
        </w:rPr>
      </w:pPr>
      <w:r>
        <w:rPr>
          <w:rFonts w:hint="eastAsia"/>
          <w:sz w:val="24"/>
          <w:highlight w:val="none"/>
          <w:lang w:val="en-US" w:eastAsia="zh-CN"/>
        </w:rPr>
        <w:t>2</w:t>
      </w:r>
      <w:r>
        <w:rPr>
          <w:sz w:val="24"/>
          <w:highlight w:val="none"/>
        </w:rPr>
        <w:t>.1本项目是否接受分支机构参与响应：</w:t>
      </w:r>
      <w:r>
        <w:rPr>
          <w:rFonts w:hint="eastAsia" w:ascii="宋体" w:hAnsi="宋体" w:cs="宋体"/>
          <w:sz w:val="24"/>
          <w:highlight w:val="none"/>
        </w:rPr>
        <w:sym w:font="Wingdings 2" w:char="00A3"/>
      </w:r>
      <w:r>
        <w:rPr>
          <w:rFonts w:hint="eastAsia" w:ascii="宋体" w:hAnsi="宋体" w:cs="宋体"/>
          <w:sz w:val="24"/>
          <w:highlight w:val="none"/>
        </w:rPr>
        <w:t>是   ■否</w:t>
      </w:r>
    </w:p>
    <w:p>
      <w:pPr>
        <w:tabs>
          <w:tab w:val="left" w:pos="900"/>
          <w:tab w:val="left" w:pos="1134"/>
          <w:tab w:val="left" w:pos="1589"/>
          <w:tab w:val="left" w:pos="5521"/>
        </w:tabs>
        <w:snapToGrid w:val="0"/>
        <w:spacing w:line="360" w:lineRule="auto"/>
        <w:ind w:firstLine="480" w:firstLineChars="200"/>
        <w:rPr>
          <w:sz w:val="24"/>
          <w:highlight w:val="none"/>
        </w:rPr>
      </w:pPr>
      <w:r>
        <w:rPr>
          <w:rFonts w:hint="eastAsia"/>
          <w:sz w:val="24"/>
          <w:highlight w:val="none"/>
          <w:lang w:val="en-US" w:eastAsia="zh-CN"/>
        </w:rPr>
        <w:t>2</w:t>
      </w:r>
      <w:r>
        <w:rPr>
          <w:sz w:val="24"/>
          <w:highlight w:val="none"/>
        </w:rPr>
        <w:t>.2 本项目是否属于政府购买服务：</w:t>
      </w:r>
    </w:p>
    <w:p>
      <w:pPr>
        <w:tabs>
          <w:tab w:val="left" w:pos="900"/>
          <w:tab w:val="left" w:pos="1134"/>
          <w:tab w:val="left" w:pos="1589"/>
          <w:tab w:val="left" w:pos="5521"/>
        </w:tabs>
        <w:snapToGrid w:val="0"/>
        <w:spacing w:line="360" w:lineRule="auto"/>
        <w:ind w:left="991" w:leftChars="472" w:firstLine="2"/>
        <w:rPr>
          <w:sz w:val="24"/>
          <w:highlight w:val="none"/>
        </w:rPr>
      </w:pPr>
      <w:r>
        <w:rPr>
          <w:rFonts w:hint="eastAsia" w:ascii="宋体" w:hAnsi="宋体" w:cs="宋体"/>
          <w:sz w:val="24"/>
          <w:highlight w:val="none"/>
        </w:rPr>
        <w:t>■</w:t>
      </w:r>
      <w:r>
        <w:rPr>
          <w:sz w:val="24"/>
          <w:highlight w:val="none"/>
        </w:rPr>
        <w:t>否</w:t>
      </w:r>
    </w:p>
    <w:p>
      <w:pPr>
        <w:tabs>
          <w:tab w:val="left" w:pos="900"/>
          <w:tab w:val="left" w:pos="1134"/>
          <w:tab w:val="left" w:pos="1589"/>
          <w:tab w:val="left" w:pos="5521"/>
        </w:tabs>
        <w:snapToGrid w:val="0"/>
        <w:spacing w:line="360" w:lineRule="auto"/>
        <w:ind w:left="991" w:leftChars="472" w:firstLine="2"/>
        <w:rPr>
          <w:sz w:val="24"/>
          <w:highlight w:val="none"/>
        </w:rPr>
      </w:pPr>
      <w:r>
        <w:rPr>
          <w:sz w:val="24"/>
          <w:highlight w:val="none"/>
        </w:rPr>
        <w:sym w:font="Wingdings 2" w:char="00A3"/>
      </w:r>
      <w:r>
        <w:rPr>
          <w:sz w:val="24"/>
          <w:highlight w:val="none"/>
        </w:rPr>
        <w:t>是，公益一类事业单位、使用事业编制且由财政拨款保障的群团组织，不得作为承接主体；</w:t>
      </w:r>
    </w:p>
    <w:p>
      <w:pPr>
        <w:tabs>
          <w:tab w:val="left" w:pos="900"/>
          <w:tab w:val="left" w:pos="1134"/>
          <w:tab w:val="left" w:pos="1589"/>
          <w:tab w:val="left" w:pos="5521"/>
        </w:tabs>
        <w:snapToGrid w:val="0"/>
        <w:spacing w:line="360" w:lineRule="auto"/>
        <w:ind w:firstLine="482" w:firstLineChars="200"/>
        <w:rPr>
          <w:b/>
          <w:bCs/>
          <w:color w:val="auto"/>
          <w:sz w:val="24"/>
          <w:highlight w:val="none"/>
        </w:rPr>
      </w:pPr>
      <w:r>
        <w:rPr>
          <w:rFonts w:hint="eastAsia"/>
          <w:b/>
          <w:bCs/>
          <w:color w:val="auto"/>
          <w:sz w:val="24"/>
          <w:highlight w:val="none"/>
          <w:lang w:val="en-US" w:eastAsia="zh-CN"/>
        </w:rPr>
        <w:t>2</w:t>
      </w:r>
      <w:r>
        <w:rPr>
          <w:b/>
          <w:bCs/>
          <w:color w:val="auto"/>
          <w:sz w:val="24"/>
          <w:highlight w:val="none"/>
        </w:rPr>
        <w:t>.3其他特定资格要求：</w:t>
      </w:r>
    </w:p>
    <w:p>
      <w:pPr>
        <w:tabs>
          <w:tab w:val="left" w:pos="900"/>
          <w:tab w:val="left" w:pos="1134"/>
          <w:tab w:val="left" w:pos="1589"/>
          <w:tab w:val="left" w:pos="5521"/>
        </w:tabs>
        <w:snapToGrid w:val="0"/>
        <w:spacing w:line="360" w:lineRule="auto"/>
        <w:ind w:firstLine="480" w:firstLineChars="200"/>
        <w:rPr>
          <w:rFonts w:hint="eastAsia"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2.3.1 响应供应商应具备食品经营许可证。</w:t>
      </w:r>
    </w:p>
    <w:p>
      <w:pPr>
        <w:tabs>
          <w:tab w:val="left" w:pos="900"/>
          <w:tab w:val="left" w:pos="1134"/>
          <w:tab w:val="left" w:pos="1589"/>
          <w:tab w:val="left" w:pos="5521"/>
        </w:tabs>
        <w:snapToGrid w:val="0"/>
        <w:spacing w:line="360" w:lineRule="auto"/>
        <w:ind w:firstLine="480" w:firstLineChars="200"/>
        <w:rPr>
          <w:rFonts w:hint="default" w:ascii="Times New Roman" w:hAnsi="Times New Roman" w:eastAsia="宋体" w:cs="Times New Roman"/>
          <w:b/>
          <w:bCs/>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2.3.2响应供应商自有或租赁的用于本项目的固定仓储场所达到</w:t>
      </w:r>
      <w:r>
        <w:rPr>
          <w:rFonts w:hint="eastAsia" w:cs="Times New Roman"/>
          <w:b w:val="0"/>
          <w:bCs w:val="0"/>
          <w:color w:val="auto"/>
          <w:kern w:val="2"/>
          <w:sz w:val="24"/>
          <w:szCs w:val="24"/>
          <w:highlight w:val="none"/>
          <w:lang w:val="en-US" w:eastAsia="zh-CN" w:bidi="ar-SA"/>
        </w:rPr>
        <w:t>3</w:t>
      </w:r>
      <w:r>
        <w:rPr>
          <w:rFonts w:hint="eastAsia" w:ascii="Times New Roman" w:hAnsi="Times New Roman" w:eastAsia="宋体" w:cs="Times New Roman"/>
          <w:b w:val="0"/>
          <w:bCs w:val="0"/>
          <w:color w:val="auto"/>
          <w:kern w:val="2"/>
          <w:sz w:val="24"/>
          <w:szCs w:val="24"/>
          <w:highlight w:val="none"/>
          <w:lang w:val="en-US" w:eastAsia="zh-CN" w:bidi="ar-SA"/>
        </w:rPr>
        <w:t>00平方米，须提供自有场地证明复印件（如房产证，登记名称与响应供应商名称必须一致）或者租赁协议复印件（截止日期不早于2025年8月1日）。</w:t>
      </w:r>
      <w:r>
        <w:rPr>
          <w:rFonts w:hint="eastAsia" w:cs="Times New Roman"/>
          <w:b/>
          <w:bCs/>
          <w:color w:val="auto"/>
          <w:kern w:val="2"/>
          <w:sz w:val="24"/>
          <w:szCs w:val="24"/>
          <w:highlight w:val="none"/>
          <w:lang w:val="en-US" w:eastAsia="zh-CN" w:bidi="ar-SA"/>
        </w:rPr>
        <w:t xml:space="preserve"> </w:t>
      </w:r>
    </w:p>
    <w:p>
      <w:pPr>
        <w:pStyle w:val="3"/>
        <w:widowControl/>
        <w:spacing w:before="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资格预审</w:t>
      </w:r>
      <w:bookmarkEnd w:id="12"/>
      <w:bookmarkEnd w:id="13"/>
      <w:r>
        <w:rPr>
          <w:rFonts w:hint="eastAsia" w:ascii="宋体" w:hAnsi="宋体" w:eastAsia="宋体" w:cs="宋体"/>
          <w:sz w:val="24"/>
          <w:szCs w:val="24"/>
          <w:highlight w:val="none"/>
          <w:lang w:eastAsia="zh-CN"/>
        </w:rPr>
        <w:t>文件领取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1.时间：</w:t>
      </w:r>
      <w:r>
        <w:rPr>
          <w:rFonts w:hint="eastAsia" w:ascii="宋体" w:hAnsi="宋体" w:cs="宋体"/>
          <w:b/>
          <w:bCs/>
          <w:sz w:val="24"/>
          <w:highlight w:val="none"/>
        </w:rPr>
        <w:t>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4</w:t>
      </w:r>
      <w:r>
        <w:rPr>
          <w:rFonts w:hint="eastAsia" w:ascii="宋体" w:hAnsi="宋体" w:cs="宋体"/>
          <w:b/>
          <w:bCs/>
          <w:sz w:val="24"/>
          <w:highlight w:val="none"/>
        </w:rPr>
        <w:t>日至202</w:t>
      </w:r>
      <w:r>
        <w:rPr>
          <w:rFonts w:hint="eastAsia" w:ascii="宋体" w:hAnsi="宋体" w:cs="宋体"/>
          <w:b/>
          <w:bCs/>
          <w:sz w:val="24"/>
          <w:highlight w:val="none"/>
          <w:lang w:val="en-US" w:eastAsia="zh-CN"/>
        </w:rPr>
        <w:t>4</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10</w:t>
      </w:r>
      <w:r>
        <w:rPr>
          <w:rFonts w:hint="eastAsia" w:ascii="宋体" w:hAnsi="宋体" w:cs="宋体"/>
          <w:b/>
          <w:bCs/>
          <w:sz w:val="24"/>
          <w:highlight w:val="none"/>
        </w:rPr>
        <w:t>日</w:t>
      </w:r>
      <w:r>
        <w:rPr>
          <w:rFonts w:hint="eastAsia" w:ascii="宋体" w:hAnsi="宋体" w:cs="宋体"/>
          <w:sz w:val="24"/>
          <w:highlight w:val="none"/>
        </w:rPr>
        <w:t>，每天上午8:30至11:30，下午14:00至17:30（北京时间，法定节假日除外）；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2.地点：</w:t>
      </w:r>
      <w:r>
        <w:rPr>
          <w:rFonts w:hint="eastAsia" w:ascii="宋体" w:hAnsi="宋体" w:cs="宋体"/>
          <w:sz w:val="24"/>
          <w:highlight w:val="none"/>
          <w:lang w:eastAsia="zh-CN"/>
        </w:rPr>
        <w:t>江苏信达建设工程咨询有限公司招投标室</w:t>
      </w:r>
      <w:r>
        <w:rPr>
          <w:rFonts w:hint="eastAsia" w:ascii="宋体" w:hAnsi="宋体" w:cs="宋体"/>
          <w:sz w:val="24"/>
          <w:highlight w:val="none"/>
        </w:rPr>
        <w:t>（</w:t>
      </w:r>
      <w:r>
        <w:rPr>
          <w:rFonts w:hint="eastAsia" w:ascii="宋体" w:hAnsi="宋体" w:cs="宋体"/>
          <w:sz w:val="24"/>
          <w:highlight w:val="none"/>
          <w:lang w:eastAsia="zh-CN"/>
        </w:rPr>
        <w:t>江苏省常州市金坛区筑立方大厦9楼</w:t>
      </w:r>
      <w:r>
        <w:rPr>
          <w:rFonts w:hint="eastAsia" w:ascii="宋体" w:hAnsi="宋体" w:cs="宋体"/>
          <w:sz w:val="24"/>
          <w:highlight w:val="none"/>
        </w:rPr>
        <w:t>）；</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3.方式：</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①现场领取；</w:t>
      </w:r>
      <w:r>
        <w:rPr>
          <w:rFonts w:hint="eastAsia" w:ascii="宋体" w:hAnsi="宋体" w:cs="宋体"/>
          <w:sz w:val="24"/>
          <w:highlight w:val="none"/>
          <w:lang w:eastAsia="zh-CN"/>
        </w:rPr>
        <w:t>供应商</w:t>
      </w:r>
      <w:r>
        <w:rPr>
          <w:rFonts w:hint="eastAsia" w:ascii="宋体" w:hAnsi="宋体" w:cs="宋体"/>
          <w:sz w:val="24"/>
          <w:highlight w:val="none"/>
        </w:rPr>
        <w:t>携带报名资料至采购代理机构获取；</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fldChar w:fldCharType="begin"/>
      </w:r>
      <w:r>
        <w:rPr>
          <w:rFonts w:hint="eastAsia" w:ascii="宋体" w:hAnsi="宋体" w:cs="宋体"/>
          <w:sz w:val="24"/>
          <w:highlight w:val="none"/>
        </w:rPr>
        <w:instrText xml:space="preserve"> HYPERLINK "mailto:②在规定的时间内将报名材料扫描发至邮箱\“1153600743@qq.com\”并按要求交纳费用后，招标文件以邮件形式发送至指定邮箱。" </w:instrText>
      </w:r>
      <w:r>
        <w:rPr>
          <w:rFonts w:hint="eastAsia" w:ascii="宋体" w:hAnsi="宋体" w:cs="宋体"/>
          <w:sz w:val="24"/>
          <w:highlight w:val="none"/>
        </w:rPr>
        <w:fldChar w:fldCharType="separate"/>
      </w:r>
      <w:r>
        <w:rPr>
          <w:rFonts w:hint="eastAsia" w:ascii="宋体" w:hAnsi="宋体" w:cs="宋体"/>
          <w:sz w:val="24"/>
          <w:highlight w:val="none"/>
        </w:rPr>
        <w:t>②网上领取：在规定的时间内将报名</w:t>
      </w:r>
      <w:r>
        <w:rPr>
          <w:rFonts w:hint="eastAsia" w:ascii="宋体" w:hAnsi="宋体" w:cs="宋体"/>
          <w:sz w:val="24"/>
          <w:highlight w:val="none"/>
          <w:lang w:eastAsia="zh-CN"/>
        </w:rPr>
        <w:t>资</w:t>
      </w:r>
      <w:r>
        <w:rPr>
          <w:rFonts w:hint="eastAsia" w:ascii="宋体" w:hAnsi="宋体" w:cs="宋体"/>
          <w:sz w:val="24"/>
          <w:highlight w:val="none"/>
        </w:rPr>
        <w:t>料扫描发至邮箱“</w:t>
      </w:r>
      <w:r>
        <w:rPr>
          <w:rFonts w:hint="eastAsia" w:ascii="宋体" w:hAnsi="宋体" w:cs="宋体"/>
          <w:sz w:val="24"/>
          <w:highlight w:val="none"/>
          <w:lang w:val="en-US" w:eastAsia="zh-CN"/>
        </w:rPr>
        <w:t>2234993275</w:t>
      </w:r>
      <w:r>
        <w:rPr>
          <w:rFonts w:hint="eastAsia" w:ascii="宋体" w:hAnsi="宋体" w:cs="宋体"/>
          <w:sz w:val="24"/>
          <w:highlight w:val="none"/>
        </w:rPr>
        <w:t>@qq.com”并电话（</w:t>
      </w:r>
      <w:r>
        <w:rPr>
          <w:rFonts w:hAnsi="宋体" w:cs="宋体"/>
          <w:sz w:val="24"/>
          <w:szCs w:val="24"/>
          <w:highlight w:val="none"/>
        </w:rPr>
        <w:t>0519-82</w:t>
      </w:r>
      <w:r>
        <w:rPr>
          <w:rFonts w:hint="eastAsia" w:hAnsi="宋体" w:cs="宋体"/>
          <w:sz w:val="24"/>
          <w:szCs w:val="24"/>
          <w:highlight w:val="none"/>
          <w:lang w:val="en-US" w:eastAsia="zh-CN"/>
        </w:rPr>
        <w:t>798174</w:t>
      </w:r>
      <w:r>
        <w:rPr>
          <w:rFonts w:hint="eastAsia" w:ascii="宋体" w:hAnsi="宋体" w:cs="宋体"/>
          <w:sz w:val="24"/>
          <w:highlight w:val="none"/>
        </w:rPr>
        <w:t>）确认后，</w:t>
      </w:r>
      <w:r>
        <w:rPr>
          <w:rFonts w:hint="eastAsia" w:ascii="宋体" w:hAnsi="宋体" w:cs="宋体"/>
          <w:sz w:val="24"/>
          <w:highlight w:val="none"/>
          <w:lang w:val="en-US" w:eastAsia="zh-CN"/>
        </w:rPr>
        <w:t>资格预审文件</w:t>
      </w:r>
      <w:r>
        <w:rPr>
          <w:rFonts w:hint="eastAsia" w:ascii="宋体" w:hAnsi="宋体" w:cs="宋体"/>
          <w:sz w:val="24"/>
          <w:highlight w:val="none"/>
        </w:rPr>
        <w:t>以邮件形式发送至指定邮箱。</w:t>
      </w:r>
      <w:r>
        <w:rPr>
          <w:rFonts w:hint="eastAsia" w:ascii="宋体" w:hAnsi="宋体" w:cs="宋体"/>
          <w:sz w:val="24"/>
          <w:highlight w:val="none"/>
        </w:rPr>
        <w:fldChar w:fldCharType="end"/>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4.报名资料（复印件加盖</w:t>
      </w:r>
      <w:r>
        <w:rPr>
          <w:rFonts w:hint="eastAsia" w:ascii="宋体" w:hAnsi="宋体" w:cs="宋体"/>
          <w:sz w:val="24"/>
          <w:highlight w:val="none"/>
          <w:lang w:eastAsia="zh-CN"/>
        </w:rPr>
        <w:t>供应商</w:t>
      </w:r>
      <w:r>
        <w:rPr>
          <w:rFonts w:hint="eastAsia" w:ascii="宋体" w:hAnsi="宋体" w:cs="宋体"/>
          <w:sz w:val="24"/>
          <w:highlight w:val="none"/>
        </w:rPr>
        <w:t>公章）：</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（1）报名申请表；</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（2）营业执照或事业单位法人证书；</w:t>
      </w:r>
    </w:p>
    <w:p>
      <w:pPr>
        <w:tabs>
          <w:tab w:val="left" w:pos="900"/>
          <w:tab w:val="left" w:pos="1980"/>
        </w:tabs>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（3）法定代表人资格证明书及身份证复印件或法定代表人授权委托书及委托代理人身份证复印件；</w:t>
      </w:r>
    </w:p>
    <w:p>
      <w:pPr>
        <w:pStyle w:val="3"/>
        <w:widowControl/>
        <w:spacing w:before="0" w:line="360" w:lineRule="auto"/>
        <w:jc w:val="left"/>
        <w:rPr>
          <w:rFonts w:hint="eastAsia" w:ascii="宋体" w:hAnsi="宋体" w:eastAsia="宋体" w:cs="宋体"/>
          <w:sz w:val="24"/>
          <w:szCs w:val="24"/>
          <w:highlight w:val="none"/>
        </w:rPr>
      </w:pPr>
      <w:bookmarkStart w:id="14" w:name="_Toc35393793"/>
      <w:bookmarkStart w:id="15" w:name="_Toc28359082"/>
      <w:bookmarkStart w:id="16" w:name="_Toc28359005"/>
      <w:bookmarkStart w:id="17" w:name="_Toc35393624"/>
      <w:r>
        <w:rPr>
          <w:rFonts w:hint="eastAsia" w:ascii="宋体" w:hAnsi="宋体" w:eastAsia="宋体" w:cs="宋体"/>
          <w:sz w:val="24"/>
          <w:szCs w:val="24"/>
          <w:highlight w:val="none"/>
        </w:rPr>
        <w:t>四、</w:t>
      </w:r>
      <w:bookmarkEnd w:id="14"/>
      <w:bookmarkEnd w:id="15"/>
      <w:bookmarkEnd w:id="16"/>
      <w:bookmarkEnd w:id="17"/>
      <w:r>
        <w:rPr>
          <w:rFonts w:hint="eastAsia" w:ascii="宋体" w:hAnsi="宋体" w:eastAsia="宋体" w:cs="宋体"/>
          <w:sz w:val="24"/>
          <w:szCs w:val="24"/>
          <w:highlight w:val="none"/>
          <w:lang w:eastAsia="zh-CN"/>
        </w:rPr>
        <w:t>资格预审时间（超过时间未签到或未递交资格审查材料的，作该供应商自动放弃参与资审处理）；资格预审时按要求一次性递交资格审查材料，资格预审时不接受补充资料）</w:t>
      </w:r>
    </w:p>
    <w:p>
      <w:pPr>
        <w:spacing w:line="360" w:lineRule="auto"/>
        <w:ind w:firstLine="480" w:firstLineChars="200"/>
        <w:rPr>
          <w:rFonts w:hint="eastAsia" w:ascii="宋体" w:hAnsi="宋体" w:cs="宋体"/>
          <w:sz w:val="24"/>
          <w:highlight w:val="none"/>
          <w:lang w:val="zh-TW" w:bidi="ar"/>
        </w:rPr>
      </w:pPr>
      <w:r>
        <w:rPr>
          <w:rFonts w:hint="eastAsia" w:ascii="宋体" w:hAnsi="宋体" w:cs="宋体"/>
          <w:sz w:val="24"/>
          <w:highlight w:val="none"/>
          <w:lang w:val="zh-TW" w:bidi="ar"/>
        </w:rPr>
        <w:t>截止时间：</w:t>
      </w:r>
      <w:r>
        <w:rPr>
          <w:rFonts w:hint="eastAsia" w:ascii="宋体" w:hAnsi="宋体" w:cs="宋体"/>
          <w:b/>
          <w:bCs/>
          <w:sz w:val="24"/>
          <w:highlight w:val="none"/>
          <w:lang w:bidi="ar"/>
        </w:rPr>
        <w:t>202</w:t>
      </w:r>
      <w:r>
        <w:rPr>
          <w:rFonts w:hint="eastAsia" w:ascii="宋体" w:hAnsi="宋体" w:cs="宋体"/>
          <w:b/>
          <w:bCs/>
          <w:sz w:val="24"/>
          <w:highlight w:val="none"/>
          <w:lang w:val="en-US" w:eastAsia="zh-CN" w:bidi="ar"/>
        </w:rPr>
        <w:t>4</w:t>
      </w:r>
      <w:r>
        <w:rPr>
          <w:rFonts w:hint="eastAsia" w:ascii="宋体" w:hAnsi="宋体" w:cs="宋体"/>
          <w:b/>
          <w:bCs/>
          <w:sz w:val="24"/>
          <w:highlight w:val="none"/>
          <w:lang w:val="zh-TW" w:bidi="ar"/>
        </w:rPr>
        <w:t>年</w:t>
      </w:r>
      <w:r>
        <w:rPr>
          <w:rFonts w:hint="eastAsia" w:ascii="宋体" w:hAnsi="宋体" w:cs="宋体"/>
          <w:b/>
          <w:bCs/>
          <w:sz w:val="24"/>
          <w:highlight w:val="none"/>
          <w:lang w:val="en-US" w:eastAsia="zh-CN" w:bidi="ar"/>
        </w:rPr>
        <w:t>7月11日9</w:t>
      </w:r>
      <w:r>
        <w:rPr>
          <w:rFonts w:hint="eastAsia" w:ascii="宋体" w:hAnsi="宋体" w:cs="宋体"/>
          <w:b/>
          <w:bCs/>
          <w:sz w:val="24"/>
          <w:highlight w:val="none"/>
          <w:lang w:val="zh-TW" w:bidi="ar"/>
        </w:rPr>
        <w:t>点30分</w:t>
      </w:r>
      <w:r>
        <w:rPr>
          <w:rFonts w:hint="eastAsia" w:ascii="宋体" w:hAnsi="宋体" w:cs="宋体"/>
          <w:sz w:val="24"/>
          <w:highlight w:val="none"/>
          <w:lang w:val="zh-TW" w:bidi="ar"/>
        </w:rPr>
        <w:t>（北京时间）；</w:t>
      </w:r>
    </w:p>
    <w:p>
      <w:pPr>
        <w:spacing w:line="360" w:lineRule="auto"/>
        <w:ind w:firstLine="480" w:firstLineChars="200"/>
        <w:rPr>
          <w:rFonts w:hint="eastAsia" w:ascii="宋体" w:hAnsi="宋体" w:eastAsia="宋体" w:cs="宋体"/>
          <w:sz w:val="24"/>
          <w:highlight w:val="none"/>
          <w:lang w:val="zh-TW" w:eastAsia="zh-CN" w:bidi="ar"/>
        </w:rPr>
      </w:pPr>
      <w:r>
        <w:rPr>
          <w:rFonts w:hint="eastAsia" w:ascii="宋体" w:hAnsi="宋体" w:cs="宋体"/>
          <w:sz w:val="24"/>
          <w:highlight w:val="none"/>
          <w:lang w:val="zh-TW" w:bidi="ar"/>
        </w:rPr>
        <w:t>地点：</w:t>
      </w:r>
      <w:r>
        <w:rPr>
          <w:rFonts w:hint="eastAsia" w:ascii="宋体" w:hAnsi="宋体" w:cs="宋体"/>
          <w:sz w:val="24"/>
          <w:szCs w:val="24"/>
          <w:highlight w:val="none"/>
          <w:lang w:eastAsia="zh-CN"/>
        </w:rPr>
        <w:t>江苏信达建设工程咨询有限公司开标室（江苏省常州市金坛区筑立方大厦9楼开标室）</w:t>
      </w:r>
      <w:r>
        <w:rPr>
          <w:rFonts w:hint="eastAsia" w:ascii="宋体" w:hAnsi="宋体" w:cs="宋体"/>
          <w:sz w:val="24"/>
          <w:highlight w:val="none"/>
          <w:lang w:val="zh-TW" w:bidi="ar"/>
        </w:rPr>
        <w:t>；</w:t>
      </w:r>
    </w:p>
    <w:p>
      <w:pPr>
        <w:pStyle w:val="3"/>
        <w:spacing w:before="0" w:line="360" w:lineRule="auto"/>
        <w:jc w:val="left"/>
        <w:rPr>
          <w:rFonts w:hint="eastAsia" w:ascii="宋体" w:hAnsi="宋体" w:eastAsia="宋体" w:cs="宋体"/>
          <w:sz w:val="24"/>
          <w:szCs w:val="24"/>
          <w:highlight w:val="none"/>
        </w:rPr>
      </w:pPr>
      <w:bookmarkStart w:id="18" w:name="_Toc35393794"/>
      <w:bookmarkStart w:id="19" w:name="_Toc35393625"/>
      <w:bookmarkStart w:id="20" w:name="_Toc28359007"/>
      <w:bookmarkStart w:id="21" w:name="_Toc28359084"/>
      <w:r>
        <w:rPr>
          <w:rFonts w:hint="eastAsia" w:ascii="宋体" w:hAnsi="宋体" w:eastAsia="宋体" w:cs="宋体"/>
          <w:sz w:val="24"/>
          <w:szCs w:val="24"/>
          <w:highlight w:val="none"/>
          <w:lang w:eastAsia="zh-CN"/>
        </w:rPr>
        <w:t>五</w:t>
      </w:r>
      <w:r>
        <w:rPr>
          <w:rFonts w:hint="eastAsia" w:ascii="宋体" w:hAnsi="宋体" w:eastAsia="宋体" w:cs="宋体"/>
          <w:sz w:val="24"/>
          <w:szCs w:val="24"/>
          <w:highlight w:val="none"/>
        </w:rPr>
        <w:t>、公告期限</w:t>
      </w:r>
      <w:bookmarkEnd w:id="18"/>
      <w:bookmarkEnd w:id="19"/>
      <w:bookmarkEnd w:id="20"/>
      <w:bookmarkEnd w:id="21"/>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自本公告发布之日起5个工作日。</w:t>
      </w:r>
    </w:p>
    <w:p>
      <w:pPr>
        <w:pStyle w:val="3"/>
        <w:spacing w:before="0" w:line="360" w:lineRule="auto"/>
        <w:jc w:val="left"/>
        <w:rPr>
          <w:rFonts w:hint="eastAsia" w:ascii="宋体" w:hAnsi="宋体" w:eastAsia="宋体" w:cs="宋体"/>
          <w:sz w:val="24"/>
          <w:szCs w:val="24"/>
          <w:highlight w:val="none"/>
        </w:rPr>
      </w:pPr>
      <w:bookmarkStart w:id="22" w:name="_Toc35393795"/>
      <w:bookmarkStart w:id="23" w:name="_Toc35393626"/>
      <w:r>
        <w:rPr>
          <w:rFonts w:hint="eastAsia" w:ascii="宋体" w:hAnsi="宋体" w:eastAsia="宋体" w:cs="宋体"/>
          <w:sz w:val="24"/>
          <w:szCs w:val="24"/>
          <w:highlight w:val="none"/>
          <w:lang w:eastAsia="zh-CN"/>
        </w:rPr>
        <w:t>六</w:t>
      </w:r>
      <w:r>
        <w:rPr>
          <w:rFonts w:hint="eastAsia" w:ascii="宋体" w:hAnsi="宋体" w:eastAsia="宋体" w:cs="宋体"/>
          <w:sz w:val="24"/>
          <w:szCs w:val="24"/>
          <w:highlight w:val="none"/>
        </w:rPr>
        <w:t>、其他补充事宜</w:t>
      </w:r>
      <w:bookmarkEnd w:id="22"/>
      <w:bookmarkEnd w:id="23"/>
    </w:p>
    <w:p>
      <w:pPr>
        <w:widowControl/>
        <w:spacing w:line="360" w:lineRule="auto"/>
        <w:ind w:firstLine="480" w:firstLineChars="200"/>
        <w:jc w:val="left"/>
        <w:rPr>
          <w:rFonts w:hint="eastAsia" w:ascii="宋体" w:hAnsi="宋体" w:cs="宋体"/>
          <w:sz w:val="24"/>
          <w:highlight w:val="none"/>
          <w:lang w:val="zh-TW" w:bidi="ar"/>
        </w:rPr>
      </w:pPr>
      <w:r>
        <w:rPr>
          <w:rFonts w:hint="eastAsia" w:ascii="宋体" w:hAnsi="宋体" w:cs="宋体"/>
          <w:sz w:val="24"/>
          <w:highlight w:val="none"/>
          <w:lang w:val="en-US" w:eastAsia="zh-CN" w:bidi="ar"/>
        </w:rPr>
        <w:t>1.</w:t>
      </w:r>
      <w:r>
        <w:rPr>
          <w:rFonts w:hint="eastAsia" w:ascii="宋体" w:hAnsi="宋体" w:cs="宋体"/>
          <w:sz w:val="24"/>
          <w:highlight w:val="none"/>
          <w:lang w:val="zh-TW" w:bidi="ar"/>
        </w:rPr>
        <w:t>供应商自行组织踏勘现场，由此产生的所有费用均由供应商自理。</w:t>
      </w:r>
    </w:p>
    <w:p>
      <w:pPr>
        <w:widowControl/>
        <w:spacing w:line="360" w:lineRule="auto"/>
        <w:ind w:firstLine="480" w:firstLineChars="200"/>
        <w:jc w:val="left"/>
        <w:rPr>
          <w:rFonts w:hint="eastAsia" w:ascii="宋体" w:hAnsi="宋体" w:cs="宋体"/>
          <w:sz w:val="24"/>
          <w:highlight w:val="none"/>
          <w:lang w:val="zh-TW" w:eastAsia="zh-CN" w:bidi="ar"/>
        </w:rPr>
      </w:pPr>
      <w:r>
        <w:rPr>
          <w:rFonts w:hint="eastAsia" w:ascii="宋体" w:hAnsi="宋体" w:cs="宋体"/>
          <w:sz w:val="24"/>
          <w:highlight w:val="none"/>
          <w:lang w:val="en-US" w:eastAsia="zh-CN" w:bidi="ar"/>
        </w:rPr>
        <w:t>2.</w:t>
      </w:r>
      <w:r>
        <w:rPr>
          <w:rFonts w:hint="eastAsia" w:ascii="宋体" w:hAnsi="宋体" w:cs="宋体"/>
          <w:sz w:val="24"/>
          <w:highlight w:val="none"/>
          <w:lang w:val="zh-TW" w:eastAsia="zh-CN" w:bidi="ar"/>
        </w:rPr>
        <w:t>资格审查合格的供应商将有资格获得磋商文件并参加后续入围评审，磋商文件费</w:t>
      </w:r>
      <w:r>
        <w:rPr>
          <w:rFonts w:hint="eastAsia" w:ascii="宋体" w:hAnsi="宋体" w:cs="宋体"/>
          <w:sz w:val="24"/>
          <w:highlight w:val="none"/>
          <w:lang w:val="en-US" w:eastAsia="zh-CN" w:bidi="ar"/>
        </w:rPr>
        <w:t>500元</w:t>
      </w:r>
      <w:r>
        <w:rPr>
          <w:rFonts w:hint="eastAsia" w:ascii="宋体" w:hAnsi="宋体" w:cs="宋体"/>
          <w:sz w:val="24"/>
          <w:highlight w:val="none"/>
          <w:lang w:val="zh-TW" w:eastAsia="zh-CN" w:bidi="ar"/>
        </w:rPr>
        <w:t>。</w:t>
      </w:r>
    </w:p>
    <w:p>
      <w:pPr>
        <w:pStyle w:val="3"/>
        <w:spacing w:before="0" w:line="360" w:lineRule="auto"/>
        <w:jc w:val="left"/>
        <w:rPr>
          <w:rFonts w:hint="eastAsia" w:ascii="宋体" w:hAnsi="宋体" w:eastAsia="宋体" w:cs="宋体"/>
          <w:sz w:val="24"/>
          <w:szCs w:val="24"/>
          <w:highlight w:val="none"/>
        </w:rPr>
      </w:pPr>
      <w:bookmarkStart w:id="24" w:name="_Toc35393627"/>
      <w:bookmarkStart w:id="25" w:name="_Toc28359085"/>
      <w:bookmarkStart w:id="26" w:name="_Toc28359008"/>
      <w:bookmarkStart w:id="27" w:name="_Toc35393796"/>
      <w:r>
        <w:rPr>
          <w:rFonts w:hint="eastAsia" w:ascii="宋体" w:hAnsi="宋体" w:eastAsia="宋体" w:cs="宋体"/>
          <w:sz w:val="24"/>
          <w:szCs w:val="24"/>
          <w:highlight w:val="none"/>
          <w:lang w:eastAsia="zh-CN"/>
        </w:rPr>
        <w:t>七</w:t>
      </w:r>
      <w:r>
        <w:rPr>
          <w:rFonts w:hint="eastAsia" w:ascii="宋体" w:hAnsi="宋体" w:eastAsia="宋体" w:cs="宋体"/>
          <w:sz w:val="24"/>
          <w:szCs w:val="24"/>
          <w:highlight w:val="none"/>
        </w:rPr>
        <w:t>、对本项目提出询问，请按以下方式联系。</w:t>
      </w:r>
      <w:bookmarkEnd w:id="24"/>
      <w:bookmarkEnd w:id="25"/>
      <w:bookmarkEnd w:id="26"/>
      <w:bookmarkEnd w:id="27"/>
    </w:p>
    <w:p>
      <w:pPr>
        <w:pStyle w:val="8"/>
        <w:spacing w:line="360" w:lineRule="auto"/>
        <w:ind w:firstLine="480" w:firstLineChars="200"/>
        <w:rPr>
          <w:rFonts w:hAnsi="宋体" w:cs="宋体"/>
          <w:sz w:val="24"/>
          <w:szCs w:val="24"/>
          <w:highlight w:val="none"/>
        </w:rPr>
      </w:pPr>
      <w:r>
        <w:rPr>
          <w:rFonts w:hAnsi="宋体" w:cs="宋体"/>
          <w:sz w:val="24"/>
          <w:szCs w:val="24"/>
          <w:highlight w:val="none"/>
        </w:rPr>
        <w:t xml:space="preserve">1．采购人信息 </w:t>
      </w:r>
    </w:p>
    <w:p>
      <w:pPr>
        <w:pStyle w:val="8"/>
        <w:spacing w:line="360" w:lineRule="auto"/>
        <w:ind w:firstLine="480" w:firstLineChars="200"/>
        <w:rPr>
          <w:rFonts w:hint="eastAsia" w:hAnsi="宋体" w:eastAsia="宋体" w:cs="宋体"/>
          <w:sz w:val="24"/>
          <w:szCs w:val="24"/>
          <w:highlight w:val="none"/>
          <w:lang w:eastAsia="zh-CN"/>
        </w:rPr>
      </w:pPr>
      <w:r>
        <w:rPr>
          <w:rFonts w:hAnsi="宋体" w:cs="宋体"/>
          <w:sz w:val="24"/>
          <w:szCs w:val="24"/>
          <w:highlight w:val="none"/>
        </w:rPr>
        <w:t>采购人名称：</w:t>
      </w:r>
      <w:r>
        <w:rPr>
          <w:rFonts w:hint="eastAsia" w:hAnsi="宋体" w:cs="宋体"/>
          <w:sz w:val="24"/>
          <w:szCs w:val="24"/>
          <w:highlight w:val="none"/>
          <w:lang w:eastAsia="zh-CN"/>
        </w:rPr>
        <w:t>常州市金坛区教育基本建设与装备管理中心</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联系人：</w:t>
      </w:r>
      <w:r>
        <w:rPr>
          <w:rFonts w:hint="eastAsia" w:hAnsi="宋体" w:cs="宋体"/>
          <w:sz w:val="24"/>
          <w:szCs w:val="24"/>
          <w:highlight w:val="none"/>
          <w:lang w:eastAsia="zh-CN"/>
        </w:rPr>
        <w:t>史</w:t>
      </w:r>
      <w:r>
        <w:rPr>
          <w:rFonts w:hAnsi="宋体" w:cs="宋体"/>
          <w:sz w:val="24"/>
          <w:szCs w:val="24"/>
          <w:highlight w:val="none"/>
        </w:rPr>
        <w:t>先生</w:t>
      </w:r>
    </w:p>
    <w:p>
      <w:pPr>
        <w:pStyle w:val="8"/>
        <w:spacing w:line="360" w:lineRule="auto"/>
        <w:ind w:firstLine="480" w:firstLineChars="200"/>
        <w:rPr>
          <w:rFonts w:hint="default" w:hAnsi="宋体" w:cs="宋体"/>
          <w:sz w:val="24"/>
          <w:szCs w:val="24"/>
          <w:highlight w:val="none"/>
        </w:rPr>
      </w:pPr>
      <w:r>
        <w:rPr>
          <w:rFonts w:hAnsi="宋体" w:cs="宋体"/>
          <w:sz w:val="24"/>
          <w:szCs w:val="24"/>
          <w:highlight w:val="none"/>
        </w:rPr>
        <w:t>联系电话：0519-82801884</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地址：常州市金坛区清风路1号</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2．采购</w:t>
      </w:r>
      <w:r>
        <w:rPr>
          <w:rFonts w:hint="eastAsia" w:hAnsi="宋体" w:cs="宋体"/>
          <w:sz w:val="24"/>
          <w:szCs w:val="24"/>
          <w:highlight w:val="none"/>
          <w:lang w:eastAsia="zh-CN"/>
        </w:rPr>
        <w:t>代理</w:t>
      </w:r>
      <w:r>
        <w:rPr>
          <w:rFonts w:hAnsi="宋体" w:cs="宋体"/>
          <w:sz w:val="24"/>
          <w:szCs w:val="24"/>
          <w:highlight w:val="none"/>
        </w:rPr>
        <w:t xml:space="preserve">机构信息 </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名 称：</w:t>
      </w:r>
      <w:r>
        <w:rPr>
          <w:rFonts w:hint="eastAsia" w:hAnsi="宋体" w:cs="宋体"/>
          <w:sz w:val="24"/>
          <w:szCs w:val="24"/>
          <w:highlight w:val="none"/>
          <w:lang w:eastAsia="zh-CN"/>
        </w:rPr>
        <w:t>江苏信达建设工程咨询有限公司</w:t>
      </w:r>
      <w:r>
        <w:rPr>
          <w:rFonts w:hAnsi="宋体" w:cs="宋体"/>
          <w:sz w:val="24"/>
          <w:szCs w:val="24"/>
          <w:highlight w:val="none"/>
        </w:rPr>
        <w:t xml:space="preserve">   </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地 址：</w:t>
      </w:r>
      <w:r>
        <w:rPr>
          <w:rFonts w:hint="eastAsia" w:hAnsi="宋体" w:cs="宋体"/>
          <w:sz w:val="24"/>
          <w:szCs w:val="24"/>
          <w:highlight w:val="none"/>
        </w:rPr>
        <w:t>常州市金坛区筑立方大厦9楼</w:t>
      </w:r>
      <w:r>
        <w:rPr>
          <w:rFonts w:hAnsi="宋体" w:cs="宋体"/>
          <w:sz w:val="24"/>
          <w:szCs w:val="24"/>
          <w:highlight w:val="none"/>
        </w:rPr>
        <w:t xml:space="preserve">      </w:t>
      </w:r>
    </w:p>
    <w:p>
      <w:pPr>
        <w:pStyle w:val="8"/>
        <w:spacing w:line="360" w:lineRule="auto"/>
        <w:ind w:firstLine="480" w:firstLineChars="200"/>
        <w:rPr>
          <w:rFonts w:hAnsi="宋体" w:cs="宋体"/>
          <w:sz w:val="24"/>
          <w:szCs w:val="24"/>
          <w:highlight w:val="none"/>
        </w:rPr>
      </w:pPr>
      <w:r>
        <w:rPr>
          <w:rFonts w:hAnsi="宋体" w:cs="宋体"/>
          <w:sz w:val="24"/>
          <w:szCs w:val="24"/>
          <w:highlight w:val="none"/>
        </w:rPr>
        <w:t>办公邮箱：</w:t>
      </w:r>
      <w:r>
        <w:rPr>
          <w:rFonts w:hint="eastAsia" w:hAnsi="宋体" w:cs="宋体"/>
          <w:sz w:val="24"/>
          <w:szCs w:val="24"/>
          <w:highlight w:val="none"/>
          <w:lang w:val="en-US" w:eastAsia="zh-CN"/>
        </w:rPr>
        <w:t>2234993275</w:t>
      </w:r>
      <w:r>
        <w:rPr>
          <w:rFonts w:hAnsi="宋体" w:cs="宋体"/>
          <w:sz w:val="24"/>
          <w:szCs w:val="24"/>
          <w:highlight w:val="none"/>
        </w:rPr>
        <w:t xml:space="preserve">@qq.com </w:t>
      </w:r>
    </w:p>
    <w:p>
      <w:pPr>
        <w:ind w:firstLine="480" w:firstLineChars="200"/>
        <w:rPr>
          <w:highlight w:val="none"/>
        </w:rPr>
      </w:pPr>
      <w:r>
        <w:rPr>
          <w:rFonts w:hAnsi="宋体" w:cs="宋体"/>
          <w:sz w:val="24"/>
          <w:szCs w:val="24"/>
          <w:highlight w:val="none"/>
        </w:rPr>
        <w:t>项目经办人及电话：</w:t>
      </w:r>
      <w:r>
        <w:rPr>
          <w:rFonts w:hint="eastAsia" w:hAnsi="宋体" w:cs="宋体"/>
          <w:sz w:val="24"/>
          <w:szCs w:val="24"/>
          <w:highlight w:val="none"/>
          <w:lang w:eastAsia="zh-CN"/>
        </w:rPr>
        <w:t>陆</w:t>
      </w:r>
      <w:r>
        <w:rPr>
          <w:rFonts w:hAnsi="宋体" w:cs="宋体"/>
          <w:sz w:val="24"/>
          <w:szCs w:val="24"/>
          <w:highlight w:val="none"/>
        </w:rPr>
        <w:t>女士  0519-82</w:t>
      </w:r>
      <w:r>
        <w:rPr>
          <w:rFonts w:hint="eastAsia" w:hAnsi="宋体" w:cs="宋体"/>
          <w:sz w:val="24"/>
          <w:szCs w:val="24"/>
          <w:highlight w:val="none"/>
          <w:lang w:val="en-US" w:eastAsia="zh-CN"/>
        </w:rPr>
        <w:t>798174</w:t>
      </w:r>
      <w:r>
        <w:rPr>
          <w:rFonts w:hAnsi="宋体" w:cs="宋体"/>
          <w:sz w:val="24"/>
          <w:szCs w:val="24"/>
          <w:highlight w:val="none"/>
        </w:rPr>
        <w:t>，</w:t>
      </w:r>
      <w:r>
        <w:rPr>
          <w:rFonts w:hint="eastAsia" w:hAnsi="宋体" w:cs="宋体"/>
          <w:sz w:val="24"/>
          <w:szCs w:val="24"/>
          <w:highlight w:val="none"/>
          <w:lang w:val="en-US" w:eastAsia="zh-CN"/>
        </w:rPr>
        <w:t>18706148579</w:t>
      </w:r>
    </w:p>
    <w:p>
      <w:pPr>
        <w:ind w:firstLine="420" w:firstLineChars="200"/>
        <w:rPr>
          <w:highlight w:val="none"/>
        </w:rPr>
      </w:pPr>
    </w:p>
    <w:p>
      <w:pPr>
        <w:pStyle w:val="8"/>
        <w:spacing w:line="360" w:lineRule="auto"/>
        <w:ind w:firstLine="480" w:firstLineChars="200"/>
        <w:rPr>
          <w:rFonts w:hint="default" w:ascii="Times New Roman" w:hAnsi="Times New Roman"/>
          <w:sz w:val="24"/>
          <w:szCs w:val="24"/>
          <w:highlight w:val="none"/>
        </w:rPr>
      </w:pPr>
      <w:r>
        <w:rPr>
          <w:rFonts w:hAnsi="宋体" w:cs="宋体"/>
          <w:sz w:val="24"/>
          <w:szCs w:val="24"/>
          <w:highlight w:val="none"/>
        </w:rPr>
        <w:t xml:space="preserve">  </w:t>
      </w:r>
      <w:r>
        <w:rPr>
          <w:rFonts w:hint="default" w:ascii="Times New Roman" w:hAnsi="Times New Roman"/>
          <w:sz w:val="24"/>
          <w:szCs w:val="24"/>
          <w:highlight w:val="none"/>
        </w:rPr>
        <w:t xml:space="preserve">  </w:t>
      </w:r>
    </w:p>
    <w:p>
      <w:pP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br w:type="page"/>
      </w:r>
    </w:p>
    <w:p>
      <w:pPr>
        <w:jc w:val="center"/>
        <w:outlineLvl w:val="0"/>
        <w:rPr>
          <w:rFonts w:hint="eastAsia" w:ascii="黑体" w:hAnsi="黑体" w:eastAsia="黑体" w:cs="黑体"/>
          <w:b/>
          <w:bCs/>
          <w:sz w:val="44"/>
          <w:szCs w:val="44"/>
          <w:highlight w:val="none"/>
          <w:lang w:val="en-US" w:eastAsia="zh-CN"/>
        </w:rPr>
      </w:pPr>
      <w:bookmarkStart w:id="28" w:name="_Toc4877"/>
      <w:r>
        <w:rPr>
          <w:rFonts w:hint="eastAsia" w:ascii="黑体" w:hAnsi="黑体" w:eastAsia="黑体" w:cs="黑体"/>
          <w:b/>
          <w:bCs/>
          <w:sz w:val="44"/>
          <w:szCs w:val="44"/>
          <w:highlight w:val="none"/>
          <w:lang w:val="en-US" w:eastAsia="zh-CN"/>
        </w:rPr>
        <w:t>第二章 资格审查办法</w:t>
      </w:r>
      <w:bookmarkEnd w:id="28"/>
    </w:p>
    <w:p>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hint="eastAsia" w:ascii="Times New Roman" w:hAnsi="Times New Roman" w:cs="Times New Roman"/>
          <w:b/>
          <w:bCs/>
          <w:color w:val="auto"/>
          <w:sz w:val="24"/>
          <w:szCs w:val="24"/>
          <w:highlight w:val="none"/>
          <w:lang w:val="en-US"/>
        </w:rPr>
      </w:pPr>
    </w:p>
    <w:p>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hint="eastAsia" w:ascii="Times New Roman" w:hAnsi="Times New Roman" w:cs="Times New Roman"/>
          <w:b/>
          <w:bCs/>
          <w:color w:val="auto"/>
          <w:sz w:val="24"/>
          <w:szCs w:val="24"/>
          <w:highlight w:val="none"/>
          <w:lang w:eastAsia="zh-CN"/>
        </w:rPr>
      </w:pPr>
      <w:r>
        <w:rPr>
          <w:rFonts w:hint="eastAsia" w:ascii="Times New Roman" w:hAnsi="Times New Roman" w:cs="Times New Roman"/>
          <w:b/>
          <w:bCs/>
          <w:color w:val="auto"/>
          <w:sz w:val="24"/>
          <w:szCs w:val="24"/>
          <w:highlight w:val="none"/>
          <w:lang w:val="en-US"/>
        </w:rPr>
        <w:t>一、</w:t>
      </w:r>
      <w:r>
        <w:rPr>
          <w:rFonts w:ascii="Times New Roman" w:hAnsi="Times New Roman" w:cs="Times New Roman"/>
          <w:b/>
          <w:bCs/>
          <w:color w:val="auto"/>
          <w:sz w:val="24"/>
          <w:szCs w:val="24"/>
          <w:highlight w:val="none"/>
        </w:rPr>
        <w:t>本</w:t>
      </w:r>
      <w:r>
        <w:rPr>
          <w:rFonts w:hint="eastAsia" w:ascii="Times New Roman" w:hAnsi="Times New Roman" w:cs="Times New Roman"/>
          <w:b/>
          <w:bCs/>
          <w:color w:val="auto"/>
          <w:sz w:val="24"/>
          <w:szCs w:val="24"/>
          <w:highlight w:val="none"/>
          <w:lang w:eastAsia="zh-CN"/>
        </w:rPr>
        <w:t>项目</w:t>
      </w:r>
      <w:r>
        <w:rPr>
          <w:rFonts w:ascii="Times New Roman" w:hAnsi="Times New Roman" w:cs="Times New Roman"/>
          <w:b/>
          <w:bCs/>
          <w:color w:val="auto"/>
          <w:sz w:val="24"/>
          <w:szCs w:val="24"/>
          <w:highlight w:val="none"/>
        </w:rPr>
        <w:t>采用</w:t>
      </w:r>
      <w:r>
        <w:rPr>
          <w:rFonts w:ascii="Times New Roman" w:hAnsi="Times New Roman" w:cs="Times New Roman"/>
          <w:b/>
          <w:bCs/>
          <w:color w:val="auto"/>
          <w:sz w:val="24"/>
          <w:szCs w:val="24"/>
          <w:highlight w:val="none"/>
          <w:u w:val="single"/>
          <w:lang w:val="en-US"/>
        </w:rPr>
        <w:t>资格预审</w:t>
      </w:r>
      <w:r>
        <w:rPr>
          <w:rFonts w:ascii="Times New Roman" w:hAnsi="Times New Roman" w:cs="Times New Roman"/>
          <w:b/>
          <w:bCs/>
          <w:color w:val="auto"/>
          <w:sz w:val="24"/>
          <w:szCs w:val="24"/>
          <w:highlight w:val="none"/>
        </w:rPr>
        <w:t>对</w:t>
      </w:r>
      <w:r>
        <w:rPr>
          <w:rFonts w:hint="eastAsia" w:ascii="Times New Roman" w:hAnsi="Times New Roman" w:cs="Times New Roman"/>
          <w:b/>
          <w:bCs/>
          <w:color w:val="auto"/>
          <w:sz w:val="24"/>
          <w:szCs w:val="24"/>
          <w:highlight w:val="none"/>
          <w:lang w:eastAsia="zh-CN"/>
        </w:rPr>
        <w:t>供应商</w:t>
      </w:r>
      <w:r>
        <w:rPr>
          <w:rFonts w:ascii="Times New Roman" w:hAnsi="Times New Roman" w:cs="Times New Roman"/>
          <w:b/>
          <w:bCs/>
          <w:color w:val="auto"/>
          <w:sz w:val="24"/>
          <w:szCs w:val="24"/>
          <w:highlight w:val="none"/>
        </w:rPr>
        <w:t>进行资格审查。资格</w:t>
      </w:r>
      <w:r>
        <w:rPr>
          <w:rFonts w:hint="eastAsia" w:ascii="Times New Roman" w:hAnsi="Times New Roman" w:cs="Times New Roman"/>
          <w:b/>
          <w:bCs/>
          <w:color w:val="auto"/>
          <w:sz w:val="24"/>
          <w:szCs w:val="24"/>
          <w:highlight w:val="none"/>
          <w:lang w:eastAsia="zh-CN"/>
        </w:rPr>
        <w:t>审查由</w:t>
      </w:r>
      <w:r>
        <w:rPr>
          <w:rFonts w:hint="eastAsia" w:ascii="Times New Roman" w:hAnsi="Times New Roman" w:cs="Times New Roman"/>
          <w:b/>
          <w:bCs/>
          <w:color w:val="auto"/>
          <w:sz w:val="24"/>
          <w:szCs w:val="24"/>
          <w:highlight w:val="none"/>
          <w:lang w:val="en-US" w:eastAsia="zh-CN"/>
        </w:rPr>
        <w:t>纸质材料审查</w:t>
      </w:r>
      <w:r>
        <w:rPr>
          <w:rFonts w:hint="eastAsia" w:ascii="Times New Roman" w:hAnsi="Times New Roman" w:cs="Times New Roman"/>
          <w:b/>
          <w:bCs/>
          <w:color w:val="auto"/>
          <w:sz w:val="24"/>
          <w:szCs w:val="24"/>
          <w:highlight w:val="none"/>
          <w:lang w:eastAsia="zh-CN"/>
        </w:rPr>
        <w:t>和</w:t>
      </w:r>
      <w:r>
        <w:rPr>
          <w:rFonts w:hint="eastAsia" w:ascii="Times New Roman" w:hAnsi="Times New Roman" w:cs="Times New Roman"/>
          <w:b/>
          <w:bCs/>
          <w:color w:val="auto"/>
          <w:sz w:val="24"/>
          <w:szCs w:val="24"/>
          <w:highlight w:val="none"/>
          <w:lang w:val="en-US" w:eastAsia="zh-CN"/>
        </w:rPr>
        <w:t>现场审查组成，供应商报名结束后，采购人将对报名成功的供应商进行</w:t>
      </w:r>
      <w:r>
        <w:rPr>
          <w:rFonts w:hint="eastAsia" w:ascii="Times New Roman" w:hAnsi="Times New Roman" w:cs="Times New Roman"/>
          <w:b/>
          <w:bCs/>
          <w:color w:val="auto"/>
          <w:sz w:val="24"/>
          <w:szCs w:val="24"/>
          <w:highlight w:val="none"/>
          <w:lang w:eastAsia="zh-CN"/>
        </w:rPr>
        <w:t>资格审查。</w:t>
      </w:r>
    </w:p>
    <w:p>
      <w:pPr>
        <w:pStyle w:val="5"/>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ascii="Times New Roman" w:hAnsi="Times New Roman"/>
          <w:b/>
          <w:bCs/>
          <w:color w:val="auto"/>
          <w:sz w:val="24"/>
          <w:szCs w:val="24"/>
          <w:highlight w:val="none"/>
          <w:lang w:val="zh-CN" w:bidi="zh-CN"/>
        </w:rPr>
      </w:pPr>
      <w:r>
        <w:rPr>
          <w:rFonts w:hint="eastAsia" w:ascii="Times New Roman" w:hAnsi="Times New Roman"/>
          <w:b/>
          <w:bCs/>
          <w:color w:val="auto"/>
          <w:sz w:val="24"/>
          <w:szCs w:val="24"/>
          <w:highlight w:val="none"/>
          <w:lang w:bidi="zh-CN"/>
        </w:rPr>
        <w:t>二、</w:t>
      </w:r>
      <w:r>
        <w:rPr>
          <w:rFonts w:ascii="Times New Roman" w:hAnsi="Times New Roman"/>
          <w:b/>
          <w:bCs/>
          <w:color w:val="auto"/>
          <w:sz w:val="24"/>
          <w:szCs w:val="24"/>
          <w:highlight w:val="none"/>
          <w:lang w:val="zh-CN" w:bidi="zh-CN"/>
        </w:rPr>
        <w:t>本</w:t>
      </w:r>
      <w:r>
        <w:rPr>
          <w:rFonts w:hint="eastAsia"/>
          <w:b/>
          <w:bCs/>
          <w:color w:val="auto"/>
          <w:sz w:val="24"/>
          <w:szCs w:val="24"/>
          <w:highlight w:val="none"/>
          <w:lang w:val="zh-CN" w:bidi="zh-CN"/>
        </w:rPr>
        <w:t>项目</w:t>
      </w:r>
      <w:r>
        <w:rPr>
          <w:rFonts w:ascii="Times New Roman" w:hAnsi="Times New Roman"/>
          <w:b/>
          <w:bCs/>
          <w:color w:val="auto"/>
          <w:sz w:val="24"/>
          <w:szCs w:val="24"/>
          <w:highlight w:val="none"/>
          <w:lang w:val="zh-CN" w:bidi="zh-CN"/>
        </w:rPr>
        <w:t>资审合格条件：</w:t>
      </w:r>
    </w:p>
    <w:p>
      <w:pPr>
        <w:spacing w:line="360" w:lineRule="auto"/>
        <w:ind w:firstLine="480" w:firstLineChars="200"/>
        <w:rPr>
          <w:rFonts w:hint="eastAsia"/>
          <w:sz w:val="24"/>
          <w:highlight w:val="none"/>
        </w:rPr>
      </w:pPr>
      <w:r>
        <w:rPr>
          <w:sz w:val="24"/>
          <w:highlight w:val="none"/>
        </w:rPr>
        <w:t>1.满足《中华人民共和国政府采购法》第二十二条规定</w:t>
      </w:r>
      <w:r>
        <w:rPr>
          <w:rFonts w:hint="eastAsia"/>
          <w:sz w:val="24"/>
          <w:highlight w:val="none"/>
        </w:rPr>
        <w:t>以及下列情形：</w:t>
      </w:r>
    </w:p>
    <w:p>
      <w:pPr>
        <w:spacing w:line="360" w:lineRule="auto"/>
        <w:ind w:firstLine="480" w:firstLineChars="200"/>
        <w:rPr>
          <w:sz w:val="24"/>
          <w:highlight w:val="none"/>
        </w:rPr>
      </w:pPr>
      <w:r>
        <w:rPr>
          <w:rFonts w:hint="eastAsia"/>
          <w:sz w:val="24"/>
          <w:highlight w:val="none"/>
        </w:rPr>
        <w:t>1.1未被“信用中国”网站（WWW.creditchina.gov.cn）或“中国政府采购网”网站（www.ccgp.gov.cn）列入失信被执行人、重大税收违法案件当事人名单、政府采购严重失信行为记录名单；</w:t>
      </w:r>
    </w:p>
    <w:p>
      <w:pPr>
        <w:spacing w:line="360" w:lineRule="auto"/>
        <w:ind w:firstLine="480" w:firstLineChars="200"/>
        <w:rPr>
          <w:sz w:val="24"/>
          <w:highlight w:val="none"/>
        </w:rPr>
      </w:pPr>
      <w:r>
        <w:rPr>
          <w:rFonts w:hint="eastAsia"/>
          <w:sz w:val="24"/>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pPr>
        <w:spacing w:line="360" w:lineRule="auto"/>
        <w:ind w:firstLine="480" w:firstLineChars="200"/>
        <w:rPr>
          <w:i/>
          <w:iCs/>
          <w:sz w:val="24"/>
          <w:highlight w:val="none"/>
          <w:u w:val="single"/>
        </w:rPr>
      </w:pPr>
      <w:r>
        <w:rPr>
          <w:rFonts w:hint="eastAsia"/>
          <w:sz w:val="24"/>
          <w:highlight w:val="none"/>
          <w:lang w:val="en-US" w:eastAsia="zh-CN"/>
        </w:rPr>
        <w:t>2</w:t>
      </w:r>
      <w:r>
        <w:rPr>
          <w:sz w:val="24"/>
          <w:highlight w:val="none"/>
        </w:rPr>
        <w:t>.本项目的特定资格要求：</w:t>
      </w:r>
    </w:p>
    <w:p>
      <w:pPr>
        <w:tabs>
          <w:tab w:val="left" w:pos="900"/>
          <w:tab w:val="left" w:pos="1134"/>
          <w:tab w:val="left" w:pos="1589"/>
          <w:tab w:val="left" w:pos="5521"/>
        </w:tabs>
        <w:snapToGrid w:val="0"/>
        <w:spacing w:line="360" w:lineRule="auto"/>
        <w:ind w:firstLine="480" w:firstLineChars="200"/>
        <w:rPr>
          <w:rFonts w:hint="eastAsia" w:ascii="宋体" w:hAnsi="宋体" w:cs="宋体"/>
          <w:sz w:val="24"/>
          <w:highlight w:val="none"/>
        </w:rPr>
      </w:pPr>
      <w:r>
        <w:rPr>
          <w:rFonts w:hint="eastAsia"/>
          <w:sz w:val="24"/>
          <w:highlight w:val="none"/>
          <w:lang w:val="en-US" w:eastAsia="zh-CN"/>
        </w:rPr>
        <w:t>2</w:t>
      </w:r>
      <w:r>
        <w:rPr>
          <w:sz w:val="24"/>
          <w:highlight w:val="none"/>
        </w:rPr>
        <w:t>.1本项目是否接受分支机构参与响应：</w:t>
      </w:r>
      <w:r>
        <w:rPr>
          <w:rFonts w:hint="eastAsia" w:ascii="宋体" w:hAnsi="宋体" w:cs="宋体"/>
          <w:sz w:val="24"/>
          <w:highlight w:val="none"/>
        </w:rPr>
        <w:sym w:font="Wingdings 2" w:char="00A3"/>
      </w:r>
      <w:r>
        <w:rPr>
          <w:rFonts w:hint="eastAsia" w:ascii="宋体" w:hAnsi="宋体" w:cs="宋体"/>
          <w:sz w:val="24"/>
          <w:highlight w:val="none"/>
        </w:rPr>
        <w:t>是   ■否</w:t>
      </w:r>
    </w:p>
    <w:p>
      <w:pPr>
        <w:tabs>
          <w:tab w:val="left" w:pos="900"/>
          <w:tab w:val="left" w:pos="1134"/>
          <w:tab w:val="left" w:pos="1589"/>
          <w:tab w:val="left" w:pos="5521"/>
        </w:tabs>
        <w:snapToGrid w:val="0"/>
        <w:spacing w:line="360" w:lineRule="auto"/>
        <w:ind w:firstLine="480" w:firstLineChars="200"/>
        <w:rPr>
          <w:sz w:val="24"/>
          <w:highlight w:val="none"/>
        </w:rPr>
      </w:pPr>
      <w:r>
        <w:rPr>
          <w:rFonts w:hint="eastAsia"/>
          <w:sz w:val="24"/>
          <w:highlight w:val="none"/>
          <w:lang w:val="en-US" w:eastAsia="zh-CN"/>
        </w:rPr>
        <w:t>2</w:t>
      </w:r>
      <w:r>
        <w:rPr>
          <w:sz w:val="24"/>
          <w:highlight w:val="none"/>
        </w:rPr>
        <w:t>.2 本项目是否属于政府购买服务：</w:t>
      </w:r>
    </w:p>
    <w:p>
      <w:pPr>
        <w:tabs>
          <w:tab w:val="left" w:pos="900"/>
          <w:tab w:val="left" w:pos="1134"/>
          <w:tab w:val="left" w:pos="1589"/>
          <w:tab w:val="left" w:pos="5521"/>
        </w:tabs>
        <w:snapToGrid w:val="0"/>
        <w:spacing w:line="360" w:lineRule="auto"/>
        <w:ind w:left="991" w:leftChars="472" w:firstLine="2"/>
        <w:rPr>
          <w:sz w:val="24"/>
          <w:highlight w:val="none"/>
        </w:rPr>
      </w:pPr>
      <w:r>
        <w:rPr>
          <w:rFonts w:hint="eastAsia" w:ascii="宋体" w:hAnsi="宋体" w:cs="宋体"/>
          <w:sz w:val="24"/>
          <w:highlight w:val="none"/>
        </w:rPr>
        <w:t>■</w:t>
      </w:r>
      <w:r>
        <w:rPr>
          <w:sz w:val="24"/>
          <w:highlight w:val="none"/>
        </w:rPr>
        <w:t>否</w:t>
      </w:r>
    </w:p>
    <w:p>
      <w:pPr>
        <w:tabs>
          <w:tab w:val="left" w:pos="900"/>
          <w:tab w:val="left" w:pos="1134"/>
          <w:tab w:val="left" w:pos="1589"/>
          <w:tab w:val="left" w:pos="5521"/>
        </w:tabs>
        <w:snapToGrid w:val="0"/>
        <w:spacing w:line="360" w:lineRule="auto"/>
        <w:ind w:left="991" w:leftChars="472" w:firstLine="2"/>
        <w:rPr>
          <w:sz w:val="24"/>
          <w:highlight w:val="none"/>
        </w:rPr>
      </w:pPr>
      <w:r>
        <w:rPr>
          <w:sz w:val="24"/>
          <w:highlight w:val="none"/>
        </w:rPr>
        <w:sym w:font="Wingdings 2" w:char="00A3"/>
      </w:r>
      <w:r>
        <w:rPr>
          <w:sz w:val="24"/>
          <w:highlight w:val="none"/>
        </w:rPr>
        <w:t>是，公益一类事业单位、使用事业编制且由财政拨款保障的群团组织，不得作为承接主体；</w:t>
      </w:r>
    </w:p>
    <w:p>
      <w:pPr>
        <w:tabs>
          <w:tab w:val="left" w:pos="900"/>
          <w:tab w:val="left" w:pos="1134"/>
          <w:tab w:val="left" w:pos="1589"/>
          <w:tab w:val="left" w:pos="5521"/>
        </w:tabs>
        <w:snapToGrid w:val="0"/>
        <w:spacing w:line="360" w:lineRule="auto"/>
        <w:ind w:firstLine="482" w:firstLineChars="200"/>
        <w:rPr>
          <w:b/>
          <w:bCs/>
          <w:color w:val="auto"/>
          <w:sz w:val="24"/>
          <w:highlight w:val="none"/>
        </w:rPr>
      </w:pPr>
      <w:r>
        <w:rPr>
          <w:rFonts w:hint="eastAsia"/>
          <w:b/>
          <w:bCs/>
          <w:color w:val="auto"/>
          <w:sz w:val="24"/>
          <w:highlight w:val="none"/>
          <w:lang w:val="en-US" w:eastAsia="zh-CN"/>
        </w:rPr>
        <w:t>2</w:t>
      </w:r>
      <w:r>
        <w:rPr>
          <w:b/>
          <w:bCs/>
          <w:color w:val="auto"/>
          <w:sz w:val="24"/>
          <w:highlight w:val="none"/>
        </w:rPr>
        <w:t>.3其他特定资格要求：</w:t>
      </w:r>
    </w:p>
    <w:p>
      <w:pPr>
        <w:tabs>
          <w:tab w:val="left" w:pos="900"/>
          <w:tab w:val="left" w:pos="1134"/>
          <w:tab w:val="left" w:pos="1589"/>
          <w:tab w:val="left" w:pos="5521"/>
        </w:tabs>
        <w:snapToGrid w:val="0"/>
        <w:spacing w:line="360" w:lineRule="auto"/>
        <w:ind w:firstLine="480" w:firstLineChars="200"/>
        <w:rPr>
          <w:rFonts w:hint="eastAsia"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2.3.1 响应供应商应具备食品经营许可证。</w:t>
      </w:r>
    </w:p>
    <w:p>
      <w:pPr>
        <w:tabs>
          <w:tab w:val="left" w:pos="900"/>
          <w:tab w:val="left" w:pos="1134"/>
          <w:tab w:val="left" w:pos="1589"/>
          <w:tab w:val="left" w:pos="5521"/>
        </w:tabs>
        <w:snapToGrid w:val="0"/>
        <w:spacing w:line="360" w:lineRule="auto"/>
        <w:ind w:firstLine="480" w:firstLineChars="200"/>
        <w:rPr>
          <w:rFonts w:hint="eastAsia" w:ascii="Times New Roman" w:hAnsi="Times New Roman" w:eastAsia="宋体" w:cs="Times New Roman"/>
          <w:b w:val="0"/>
          <w:bCs w:val="0"/>
          <w:color w:val="auto"/>
          <w:kern w:val="2"/>
          <w:sz w:val="24"/>
          <w:szCs w:val="20"/>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2.3.2响应供应商自有或租赁的用于本项目的固定仓储场所达到</w:t>
      </w:r>
      <w:r>
        <w:rPr>
          <w:rFonts w:hint="eastAsia" w:cs="Times New Roman"/>
          <w:b w:val="0"/>
          <w:bCs w:val="0"/>
          <w:color w:val="auto"/>
          <w:kern w:val="2"/>
          <w:sz w:val="24"/>
          <w:szCs w:val="24"/>
          <w:highlight w:val="none"/>
          <w:lang w:val="en-US" w:eastAsia="zh-CN" w:bidi="ar-SA"/>
        </w:rPr>
        <w:t>3</w:t>
      </w:r>
      <w:r>
        <w:rPr>
          <w:rFonts w:hint="eastAsia" w:ascii="Times New Roman" w:hAnsi="Times New Roman" w:eastAsia="宋体" w:cs="Times New Roman"/>
          <w:b w:val="0"/>
          <w:bCs w:val="0"/>
          <w:color w:val="auto"/>
          <w:kern w:val="2"/>
          <w:sz w:val="24"/>
          <w:szCs w:val="24"/>
          <w:highlight w:val="none"/>
          <w:lang w:val="en-US" w:eastAsia="zh-CN" w:bidi="ar-SA"/>
        </w:rPr>
        <w:t>00平方米，须提供自有场地证明复印件（如房产证，登记名称与响应供应商名称必须一致）或者租赁协议复印件（截止日期不早于2025年8月1日）。</w:t>
      </w:r>
    </w:p>
    <w:p>
      <w:pPr>
        <w:keepNext w:val="0"/>
        <w:keepLines w:val="0"/>
        <w:pageBreakBefore w:val="0"/>
        <w:widowControl w:val="0"/>
        <w:kinsoku/>
        <w:wordWrap/>
        <w:overflowPunct/>
        <w:topLinePunct w:val="0"/>
        <w:bidi w:val="0"/>
        <w:adjustRightInd/>
        <w:snapToGrid/>
        <w:spacing w:line="520" w:lineRule="exact"/>
        <w:ind w:firstLine="506" w:firstLineChars="200"/>
        <w:textAlignment w:val="auto"/>
        <w:rPr>
          <w:rFonts w:hint="eastAsia" w:ascii="宋体" w:hAnsi="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2.4资格预审需审查的材料及相关要求</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2.4.1资格审查材料：</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eastAsia="zh-CN"/>
        </w:rPr>
      </w:pPr>
      <w:r>
        <w:rPr>
          <w:rFonts w:hint="eastAsia" w:ascii="宋体" w:hAnsi="宋体"/>
          <w:spacing w:val="6"/>
          <w:kern w:val="48"/>
          <w:sz w:val="24"/>
          <w:szCs w:val="24"/>
          <w:highlight w:val="none"/>
          <w:lang w:eastAsia="zh-CN"/>
        </w:rPr>
        <w:t>（1）</w:t>
      </w:r>
      <w:r>
        <w:rPr>
          <w:rFonts w:hint="eastAsia" w:ascii="宋体" w:hAnsi="宋体"/>
          <w:spacing w:val="6"/>
          <w:kern w:val="48"/>
          <w:sz w:val="24"/>
          <w:szCs w:val="24"/>
          <w:highlight w:val="none"/>
          <w:lang w:val="en-US" w:eastAsia="zh-CN"/>
        </w:rPr>
        <w:t>供应商</w:t>
      </w:r>
      <w:r>
        <w:rPr>
          <w:rFonts w:hint="eastAsia" w:ascii="宋体" w:hAnsi="宋体"/>
          <w:spacing w:val="6"/>
          <w:kern w:val="48"/>
          <w:sz w:val="24"/>
          <w:szCs w:val="24"/>
          <w:highlight w:val="none"/>
          <w:lang w:eastAsia="zh-CN"/>
        </w:rPr>
        <w:t>自有或租赁的用于本项目的固定仓储场所达到</w:t>
      </w:r>
      <w:r>
        <w:rPr>
          <w:rFonts w:hint="eastAsia" w:ascii="宋体" w:hAnsi="宋体"/>
          <w:spacing w:val="6"/>
          <w:kern w:val="48"/>
          <w:sz w:val="24"/>
          <w:szCs w:val="24"/>
          <w:highlight w:val="none"/>
          <w:lang w:val="en-US" w:eastAsia="zh-CN"/>
        </w:rPr>
        <w:t>3</w:t>
      </w:r>
      <w:r>
        <w:rPr>
          <w:rFonts w:hint="eastAsia" w:ascii="宋体" w:hAnsi="宋体"/>
          <w:spacing w:val="6"/>
          <w:kern w:val="48"/>
          <w:sz w:val="24"/>
          <w:szCs w:val="24"/>
          <w:highlight w:val="none"/>
          <w:lang w:eastAsia="zh-CN"/>
        </w:rPr>
        <w:t>00平方米，须提供自有场地证明复印件（如房产证，登记名称与响应供应商名称必须一致）或者租赁协议复印件（截止日期不早于2025年8月1日）。</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eastAsia="zh-CN"/>
        </w:rPr>
      </w:pPr>
      <w:r>
        <w:rPr>
          <w:rFonts w:hint="eastAsia" w:ascii="宋体" w:hAnsi="宋体" w:cs="Times New Roman"/>
          <w:color w:val="auto"/>
          <w:spacing w:val="6"/>
          <w:kern w:val="48"/>
          <w:sz w:val="24"/>
          <w:szCs w:val="24"/>
          <w:highlight w:val="none"/>
          <w:lang w:eastAsia="zh-CN"/>
        </w:rPr>
        <w:t>（</w:t>
      </w:r>
      <w:r>
        <w:rPr>
          <w:rFonts w:hint="eastAsia" w:ascii="宋体" w:hAnsi="宋体" w:cs="Times New Roman"/>
          <w:color w:val="auto"/>
          <w:spacing w:val="6"/>
          <w:kern w:val="48"/>
          <w:sz w:val="24"/>
          <w:szCs w:val="24"/>
          <w:highlight w:val="none"/>
          <w:lang w:val="en-US" w:eastAsia="zh-CN"/>
        </w:rPr>
        <w:t>2</w:t>
      </w:r>
      <w:r>
        <w:rPr>
          <w:rFonts w:hint="eastAsia" w:ascii="宋体" w:hAnsi="宋体" w:cs="Times New Roman"/>
          <w:color w:val="auto"/>
          <w:spacing w:val="6"/>
          <w:kern w:val="48"/>
          <w:sz w:val="24"/>
          <w:szCs w:val="24"/>
          <w:highlight w:val="none"/>
          <w:lang w:eastAsia="zh-CN"/>
        </w:rPr>
        <w:t>）有效的营业执照及</w:t>
      </w:r>
      <w:r>
        <w:rPr>
          <w:rFonts w:hint="eastAsia" w:ascii="宋体" w:hAnsi="宋体"/>
          <w:color w:val="auto"/>
          <w:spacing w:val="6"/>
          <w:kern w:val="48"/>
          <w:sz w:val="24"/>
          <w:szCs w:val="24"/>
          <w:highlight w:val="none"/>
          <w:lang w:eastAsia="zh-CN"/>
        </w:rPr>
        <w:t>食品经营许可证</w:t>
      </w:r>
      <w:r>
        <w:rPr>
          <w:rFonts w:hint="eastAsia" w:ascii="宋体" w:hAnsi="宋体" w:cs="Times New Roman"/>
          <w:color w:val="auto"/>
          <w:spacing w:val="6"/>
          <w:kern w:val="48"/>
          <w:sz w:val="24"/>
          <w:szCs w:val="24"/>
          <w:highlight w:val="none"/>
          <w:lang w:eastAsia="zh-CN"/>
        </w:rPr>
        <w:t>复印件</w:t>
      </w:r>
      <w:r>
        <w:rPr>
          <w:rFonts w:hint="eastAsia" w:ascii="宋体" w:hAnsi="宋体" w:cs="Times New Roman"/>
          <w:spacing w:val="6"/>
          <w:kern w:val="48"/>
          <w:sz w:val="24"/>
          <w:szCs w:val="24"/>
          <w:highlight w:val="none"/>
          <w:lang w:eastAsia="zh-CN"/>
        </w:rPr>
        <w:t>。</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spacing w:val="6"/>
          <w:kern w:val="48"/>
          <w:sz w:val="24"/>
          <w:szCs w:val="24"/>
          <w:highlight w:val="none"/>
          <w:lang w:val="en-US" w:eastAsia="zh-CN"/>
        </w:rPr>
      </w:pPr>
      <w:r>
        <w:rPr>
          <w:rFonts w:hint="eastAsia" w:ascii="宋体" w:hAnsi="宋体"/>
          <w:spacing w:val="6"/>
          <w:kern w:val="48"/>
          <w:sz w:val="24"/>
          <w:szCs w:val="24"/>
          <w:highlight w:val="none"/>
          <w:lang w:val="en-US" w:eastAsia="zh-CN"/>
        </w:rPr>
        <w:t>2.4.2对资格审查材料的相关要求：</w:t>
      </w:r>
    </w:p>
    <w:p>
      <w:pPr>
        <w:pStyle w:val="13"/>
        <w:ind w:left="0" w:leftChars="0" w:firstLine="504" w:firstLineChars="200"/>
        <w:rPr>
          <w:rFonts w:hint="default"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（1）资格审查材料须加盖供应商公章，单独装订密封，原件备查。</w:t>
      </w:r>
    </w:p>
    <w:p>
      <w:pPr>
        <w:pStyle w:val="13"/>
        <w:ind w:left="0" w:leftChars="0" w:firstLine="504" w:firstLineChars="200"/>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（2）资格审查材料必须满足要求且一次性提交，资格预审截止时间后不再接受任何补充资料。</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b/>
          <w:bCs/>
          <w:spacing w:val="6"/>
          <w:kern w:val="48"/>
          <w:sz w:val="24"/>
          <w:szCs w:val="24"/>
          <w:highlight w:val="none"/>
          <w:lang w:val="en-US" w:eastAsia="zh-CN"/>
        </w:rPr>
      </w:pPr>
      <w:r>
        <w:rPr>
          <w:rFonts w:hint="eastAsia" w:ascii="宋体" w:hAnsi="宋体"/>
          <w:b/>
          <w:bCs/>
          <w:spacing w:val="6"/>
          <w:kern w:val="48"/>
          <w:sz w:val="24"/>
          <w:szCs w:val="24"/>
          <w:highlight w:val="none"/>
          <w:lang w:val="en-US" w:eastAsia="zh-CN"/>
        </w:rPr>
        <w:t>2.5确定潜在供应商的方式:合格制</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通过资格审查的供应商将获得磋商文件。</w:t>
      </w:r>
    </w:p>
    <w:p>
      <w:pPr>
        <w:pStyle w:val="13"/>
        <w:ind w:left="0" w:leftChars="0" w:firstLine="0" w:firstLineChars="0"/>
        <w:jc w:val="left"/>
        <w:rPr>
          <w:rFonts w:hint="eastAsia" w:ascii="宋体" w:hAnsi="宋体" w:eastAsia="宋体" w:cs="Times New Roman"/>
          <w:b/>
          <w:bCs/>
          <w:spacing w:val="6"/>
          <w:kern w:val="48"/>
          <w:sz w:val="24"/>
          <w:szCs w:val="24"/>
          <w:highlight w:val="none"/>
          <w:lang w:val="en-US" w:eastAsia="zh-CN" w:bidi="ar-SA"/>
        </w:rPr>
      </w:pPr>
      <w:r>
        <w:rPr>
          <w:rFonts w:hint="eastAsia" w:ascii="宋体" w:hAnsi="宋体" w:eastAsia="宋体" w:cs="Times New Roman"/>
          <w:b/>
          <w:bCs/>
          <w:spacing w:val="6"/>
          <w:kern w:val="48"/>
          <w:sz w:val="24"/>
          <w:szCs w:val="24"/>
          <w:highlight w:val="none"/>
          <w:lang w:val="en-US" w:eastAsia="zh-CN" w:bidi="ar-SA"/>
        </w:rPr>
        <w:t>2.</w:t>
      </w:r>
      <w:r>
        <w:rPr>
          <w:rFonts w:hint="eastAsia" w:ascii="宋体" w:hAnsi="宋体" w:cs="Times New Roman"/>
          <w:b/>
          <w:bCs/>
          <w:spacing w:val="6"/>
          <w:kern w:val="48"/>
          <w:sz w:val="24"/>
          <w:szCs w:val="24"/>
          <w:highlight w:val="none"/>
          <w:lang w:val="en-US" w:eastAsia="zh-CN" w:bidi="ar-SA"/>
        </w:rPr>
        <w:t>6</w:t>
      </w:r>
      <w:r>
        <w:rPr>
          <w:rFonts w:hint="eastAsia" w:ascii="宋体" w:hAnsi="宋体" w:eastAsia="宋体" w:cs="Times New Roman"/>
          <w:b/>
          <w:bCs/>
          <w:spacing w:val="6"/>
          <w:kern w:val="48"/>
          <w:sz w:val="24"/>
          <w:szCs w:val="24"/>
          <w:highlight w:val="none"/>
          <w:lang w:val="en-US" w:eastAsia="zh-CN" w:bidi="ar-SA"/>
        </w:rPr>
        <w:t>资格预审时间、地点</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（1）递交资格审查材料截止时间：</w:t>
      </w:r>
      <w:r>
        <w:rPr>
          <w:rFonts w:hint="eastAsia" w:ascii="宋体" w:hAnsi="宋体" w:cs="Times New Roman"/>
          <w:b/>
          <w:bCs/>
          <w:spacing w:val="6"/>
          <w:kern w:val="48"/>
          <w:sz w:val="24"/>
          <w:szCs w:val="24"/>
          <w:highlight w:val="none"/>
          <w:lang w:val="en-US" w:eastAsia="zh-CN"/>
        </w:rPr>
        <w:t>2024年7月11日9:30</w:t>
      </w:r>
      <w:r>
        <w:rPr>
          <w:rFonts w:hint="eastAsia" w:ascii="宋体" w:hAnsi="宋体" w:cs="Times New Roman"/>
          <w:spacing w:val="6"/>
          <w:kern w:val="48"/>
          <w:sz w:val="24"/>
          <w:szCs w:val="24"/>
          <w:highlight w:val="none"/>
          <w:lang w:val="en-US" w:eastAsia="zh-CN"/>
        </w:rPr>
        <w:t>，超过</w:t>
      </w:r>
      <w:r>
        <w:rPr>
          <w:rFonts w:hint="eastAsia" w:ascii="宋体" w:hAnsi="宋体" w:cs="Times New Roman"/>
          <w:b/>
          <w:bCs/>
          <w:spacing w:val="6"/>
          <w:kern w:val="48"/>
          <w:sz w:val="24"/>
          <w:szCs w:val="24"/>
          <w:highlight w:val="none"/>
          <w:lang w:val="en-US" w:eastAsia="zh-CN"/>
        </w:rPr>
        <w:t>2024年7月11日9:30</w:t>
      </w:r>
      <w:r>
        <w:rPr>
          <w:rFonts w:hint="eastAsia" w:ascii="宋体" w:hAnsi="宋体" w:cs="Times New Roman"/>
          <w:spacing w:val="6"/>
          <w:kern w:val="48"/>
          <w:sz w:val="24"/>
          <w:szCs w:val="24"/>
          <w:highlight w:val="none"/>
          <w:lang w:val="en-US" w:eastAsia="zh-CN"/>
        </w:rPr>
        <w:t>未签到或未递交资格审查材料的，作该供应商自动放弃参与资格预审处理。</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（2）地点：</w:t>
      </w:r>
      <w:r>
        <w:rPr>
          <w:rFonts w:hint="eastAsia" w:ascii="宋体" w:hAnsi="宋体" w:cs="宋体"/>
          <w:sz w:val="24"/>
          <w:szCs w:val="24"/>
          <w:highlight w:val="none"/>
          <w:lang w:eastAsia="zh-CN"/>
        </w:rPr>
        <w:t>江苏信达建设工程咨询有限公司开标室（常州市金坛区筑立方大厦9楼开标室）</w:t>
      </w:r>
      <w:r>
        <w:rPr>
          <w:rFonts w:hint="eastAsia" w:ascii="宋体" w:hAnsi="宋体" w:cs="Times New Roman"/>
          <w:spacing w:val="6"/>
          <w:kern w:val="48"/>
          <w:sz w:val="24"/>
          <w:szCs w:val="24"/>
          <w:highlight w:val="none"/>
          <w:lang w:val="en-US" w:eastAsia="zh-CN"/>
        </w:rPr>
        <w:t>。</w:t>
      </w:r>
    </w:p>
    <w:p>
      <w:pPr>
        <w:pStyle w:val="13"/>
        <w:ind w:left="0" w:leftChars="0" w:firstLine="0" w:firstLineChars="0"/>
        <w:jc w:val="left"/>
        <w:rPr>
          <w:rFonts w:hint="eastAsia" w:ascii="宋体" w:hAnsi="宋体" w:eastAsia="宋体" w:cs="Times New Roman"/>
          <w:b/>
          <w:bCs/>
          <w:spacing w:val="6"/>
          <w:kern w:val="48"/>
          <w:sz w:val="24"/>
          <w:szCs w:val="24"/>
          <w:highlight w:val="none"/>
          <w:lang w:val="en-US" w:eastAsia="zh-CN" w:bidi="ar-SA"/>
        </w:rPr>
      </w:pPr>
      <w:r>
        <w:rPr>
          <w:rFonts w:hint="eastAsia" w:ascii="宋体" w:hAnsi="宋体" w:eastAsia="宋体" w:cs="Times New Roman"/>
          <w:b/>
          <w:bCs/>
          <w:spacing w:val="6"/>
          <w:kern w:val="48"/>
          <w:sz w:val="24"/>
          <w:szCs w:val="24"/>
          <w:highlight w:val="none"/>
          <w:lang w:val="en-US" w:eastAsia="zh-CN" w:bidi="ar-SA"/>
        </w:rPr>
        <w:t>2.</w:t>
      </w:r>
      <w:r>
        <w:rPr>
          <w:rFonts w:hint="eastAsia" w:ascii="宋体" w:hAnsi="宋体" w:cs="Times New Roman"/>
          <w:b/>
          <w:bCs/>
          <w:spacing w:val="6"/>
          <w:kern w:val="48"/>
          <w:sz w:val="24"/>
          <w:szCs w:val="24"/>
          <w:highlight w:val="none"/>
          <w:lang w:val="en-US" w:eastAsia="zh-CN" w:bidi="ar-SA"/>
        </w:rPr>
        <w:t>7资格预审供应商人员到场要求及需提供的材料</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（1）供应商的法定代表人或委托代理人必须准时参加资格预审，并在采购人进行身份核验时提交以下材料：</w:t>
      </w:r>
    </w:p>
    <w:p>
      <w:pPr>
        <w:keepNext w:val="0"/>
        <w:keepLines w:val="0"/>
        <w:pageBreakBefore w:val="0"/>
        <w:widowControl w:val="0"/>
        <w:numPr>
          <w:ilvl w:val="0"/>
          <w:numId w:val="0"/>
        </w:numPr>
        <w:kinsoku/>
        <w:wordWrap/>
        <w:overflowPunct/>
        <w:topLinePunct w:val="0"/>
        <w:bidi w:val="0"/>
        <w:adjustRightInd/>
        <w:snapToGrid/>
        <w:spacing w:line="520" w:lineRule="exact"/>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①如法定代表人参加，需持本人第二代身份证原件并提交法定代表人身份证明文件原件；</w:t>
      </w:r>
    </w:p>
    <w:p>
      <w:pPr>
        <w:keepNext w:val="0"/>
        <w:keepLines w:val="0"/>
        <w:pageBreakBefore w:val="0"/>
        <w:widowControl w:val="0"/>
        <w:numPr>
          <w:ilvl w:val="0"/>
          <w:numId w:val="0"/>
        </w:numPr>
        <w:kinsoku/>
        <w:wordWrap/>
        <w:overflowPunct/>
        <w:topLinePunct w:val="0"/>
        <w:bidi w:val="0"/>
        <w:adjustRightInd/>
        <w:snapToGrid/>
        <w:spacing w:line="520" w:lineRule="exact"/>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②如委托代理人参加，需持本人第二代身份证原件并提交法定代表人授权委托书原件。</w:t>
      </w:r>
    </w:p>
    <w:p>
      <w:pPr>
        <w:keepNext w:val="0"/>
        <w:keepLines w:val="0"/>
        <w:pageBreakBefore w:val="0"/>
        <w:widowControl w:val="0"/>
        <w:kinsoku/>
        <w:wordWrap/>
        <w:overflowPunct/>
        <w:topLinePunct w:val="0"/>
        <w:bidi w:val="0"/>
        <w:adjustRightInd/>
        <w:snapToGrid/>
        <w:spacing w:line="520" w:lineRule="exact"/>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（2）以上参加人员在资格预审截止时间时有下列情形之一的，视为自动放弃参与资格预审处理，采购人不予受理：</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1、未到达资格预审现场的；</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2、未参加资格预审签到的；</w:t>
      </w:r>
    </w:p>
    <w:p>
      <w:pPr>
        <w:keepNext w:val="0"/>
        <w:keepLines w:val="0"/>
        <w:pageBreakBefore w:val="0"/>
        <w:widowControl w:val="0"/>
        <w:kinsoku/>
        <w:wordWrap/>
        <w:overflowPunct/>
        <w:topLinePunct w:val="0"/>
        <w:bidi w:val="0"/>
        <w:adjustRightInd/>
        <w:snapToGrid/>
        <w:spacing w:line="520" w:lineRule="exact"/>
        <w:ind w:firstLine="504" w:firstLineChars="200"/>
        <w:textAlignment w:val="auto"/>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3、未递交资格审查材料的；</w:t>
      </w:r>
    </w:p>
    <w:p>
      <w:pPr>
        <w:pStyle w:val="13"/>
        <w:ind w:left="0" w:leftChars="0" w:firstLine="504" w:firstLineChars="200"/>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4、身份核验时未能提供相关材料的；</w:t>
      </w:r>
    </w:p>
    <w:p>
      <w:pPr>
        <w:pStyle w:val="13"/>
        <w:ind w:left="0" w:leftChars="0" w:firstLine="504" w:firstLineChars="200"/>
        <w:rPr>
          <w:rFonts w:hint="eastAsia" w:ascii="宋体" w:hAnsi="宋体" w:cs="Times New Roman"/>
          <w:spacing w:val="6"/>
          <w:kern w:val="48"/>
          <w:sz w:val="24"/>
          <w:szCs w:val="24"/>
          <w:highlight w:val="none"/>
          <w:lang w:val="en-US" w:eastAsia="zh-CN"/>
        </w:rPr>
      </w:pPr>
      <w:r>
        <w:rPr>
          <w:rFonts w:hint="eastAsia" w:ascii="宋体" w:hAnsi="宋体" w:cs="Times New Roman"/>
          <w:spacing w:val="6"/>
          <w:kern w:val="48"/>
          <w:sz w:val="24"/>
          <w:szCs w:val="24"/>
          <w:highlight w:val="none"/>
          <w:lang w:val="en-US" w:eastAsia="zh-CN"/>
        </w:rPr>
        <w:t>5、法律法规规定的其他情形。</w:t>
      </w:r>
    </w:p>
    <w:p>
      <w:pPr>
        <w:keepNext w:val="0"/>
        <w:keepLines w:val="0"/>
        <w:pageBreakBefore w:val="0"/>
        <w:widowControl w:val="0"/>
        <w:kinsoku/>
        <w:wordWrap/>
        <w:overflowPunct/>
        <w:topLinePunct w:val="0"/>
        <w:bidi w:val="0"/>
        <w:adjustRightInd/>
        <w:snapToGrid/>
        <w:spacing w:line="520" w:lineRule="exact"/>
        <w:textAlignment w:val="auto"/>
        <w:rPr>
          <w:rFonts w:hint="eastAsia" w:ascii="黑体" w:hAnsi="黑体" w:eastAsia="黑体" w:cs="黑体"/>
          <w:b/>
          <w:bCs/>
          <w:sz w:val="44"/>
          <w:szCs w:val="44"/>
          <w:highlight w:val="none"/>
          <w:lang w:val="en-US" w:eastAsia="zh-CN"/>
        </w:rPr>
      </w:pPr>
      <w:r>
        <w:rPr>
          <w:rFonts w:hint="eastAsia" w:ascii="黑体" w:hAnsi="黑体" w:eastAsia="黑体" w:cs="黑体"/>
          <w:b/>
          <w:bCs/>
          <w:sz w:val="44"/>
          <w:szCs w:val="44"/>
          <w:highlight w:val="none"/>
          <w:lang w:val="en-US" w:eastAsia="zh-CN"/>
        </w:rPr>
        <w:br w:type="page"/>
      </w:r>
    </w:p>
    <w:p>
      <w:pPr>
        <w:pStyle w:val="13"/>
        <w:ind w:left="0" w:leftChars="0" w:firstLine="0" w:firstLineChars="0"/>
        <w:jc w:val="center"/>
        <w:outlineLvl w:val="0"/>
        <w:rPr>
          <w:rFonts w:hint="eastAsia" w:ascii="黑体" w:hAnsi="黑体" w:eastAsia="黑体" w:cs="黑体"/>
          <w:b/>
          <w:bCs/>
          <w:sz w:val="44"/>
          <w:szCs w:val="44"/>
          <w:highlight w:val="none"/>
          <w:lang w:val="en-US" w:eastAsia="zh-CN"/>
        </w:rPr>
      </w:pPr>
      <w:bookmarkStart w:id="29" w:name="_Toc28001"/>
      <w:r>
        <w:rPr>
          <w:rFonts w:hint="eastAsia" w:ascii="黑体" w:hAnsi="黑体" w:eastAsia="黑体" w:cs="黑体"/>
          <w:b/>
          <w:bCs/>
          <w:sz w:val="44"/>
          <w:szCs w:val="44"/>
          <w:highlight w:val="none"/>
          <w:lang w:val="en-US" w:eastAsia="zh-CN"/>
        </w:rPr>
        <w:t>第三章 采购需求</w:t>
      </w:r>
      <w:bookmarkEnd w:id="29"/>
    </w:p>
    <w:p>
      <w:pPr>
        <w:pStyle w:val="21"/>
        <w:adjustRightInd w:val="0"/>
        <w:spacing w:line="360" w:lineRule="auto"/>
        <w:ind w:firstLine="480"/>
        <w:contextualSpacing/>
        <w:jc w:val="left"/>
        <w:rPr>
          <w:rFonts w:hint="eastAsia"/>
          <w:b w:val="0"/>
          <w:bCs/>
          <w:highlight w:val="none"/>
        </w:rPr>
      </w:pPr>
      <w:r>
        <w:rPr>
          <w:rFonts w:hint="eastAsia"/>
          <w:b w:val="0"/>
          <w:bCs/>
          <w:highlight w:val="none"/>
        </w:rPr>
        <w:t>一、项目说明：</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1、项目概况：根据省纪委监委、省教育厅、</w:t>
      </w:r>
      <w:r>
        <w:rPr>
          <w:rFonts w:hint="eastAsia"/>
          <w:b w:val="0"/>
          <w:bCs/>
          <w:highlight w:val="none"/>
          <w:lang w:eastAsia="zh-CN"/>
        </w:rPr>
        <w:t>金坛区教育局</w:t>
      </w:r>
      <w:r>
        <w:rPr>
          <w:rFonts w:hint="eastAsia"/>
          <w:b w:val="0"/>
          <w:bCs/>
          <w:highlight w:val="none"/>
        </w:rPr>
        <w:t>关于</w:t>
      </w:r>
      <w:r>
        <w:rPr>
          <w:rFonts w:hint="eastAsia"/>
          <w:b w:val="0"/>
          <w:bCs/>
          <w:highlight w:val="none"/>
          <w:lang w:eastAsia="zh-CN"/>
        </w:rPr>
        <w:t>常州市金坛区学校阳光食堂综合智能服务平台</w:t>
      </w:r>
      <w:r>
        <w:rPr>
          <w:rFonts w:hint="eastAsia"/>
          <w:b w:val="0"/>
          <w:bCs/>
          <w:highlight w:val="none"/>
        </w:rPr>
        <w:t>建设的工作要求，为确保我</w:t>
      </w:r>
      <w:r>
        <w:rPr>
          <w:rFonts w:hint="eastAsia"/>
          <w:b w:val="0"/>
          <w:bCs/>
          <w:highlight w:val="none"/>
          <w:lang w:eastAsia="zh-CN"/>
        </w:rPr>
        <w:t>区</w:t>
      </w:r>
      <w:r>
        <w:rPr>
          <w:rFonts w:hint="eastAsia"/>
          <w:b w:val="0"/>
          <w:bCs/>
          <w:highlight w:val="none"/>
        </w:rPr>
        <w:t>中小学校食堂食品安全，规范食品及原料采购行为，维护师生的合法权益。现开展</w:t>
      </w:r>
      <w:r>
        <w:rPr>
          <w:rFonts w:hint="eastAsia"/>
          <w:b w:val="0"/>
          <w:bCs/>
          <w:highlight w:val="none"/>
          <w:lang w:eastAsia="zh-CN"/>
        </w:rPr>
        <w:t>常州市金坛区公办中小学幼儿园食堂</w:t>
      </w:r>
      <w:r>
        <w:rPr>
          <w:rFonts w:hint="eastAsia"/>
          <w:b w:val="0"/>
          <w:bCs/>
          <w:highlight w:val="none"/>
        </w:rPr>
        <w:t>食用油与调味品</w:t>
      </w:r>
      <w:r>
        <w:rPr>
          <w:rFonts w:hint="eastAsia"/>
          <w:b w:val="0"/>
          <w:bCs/>
          <w:highlight w:val="none"/>
          <w:lang w:val="en-US" w:eastAsia="zh-CN"/>
        </w:rPr>
        <w:t>配送服务单位入围</w:t>
      </w:r>
      <w:r>
        <w:rPr>
          <w:rFonts w:hint="eastAsia"/>
          <w:b w:val="0"/>
          <w:bCs/>
          <w:highlight w:val="none"/>
        </w:rPr>
        <w:t>招标。</w:t>
      </w:r>
    </w:p>
    <w:p>
      <w:pPr>
        <w:pStyle w:val="21"/>
        <w:adjustRightInd w:val="0"/>
        <w:spacing w:line="360" w:lineRule="auto"/>
        <w:ind w:firstLine="480"/>
        <w:contextualSpacing/>
        <w:jc w:val="left"/>
        <w:rPr>
          <w:rFonts w:hint="eastAsia"/>
          <w:b w:val="0"/>
          <w:bCs/>
          <w:highlight w:val="none"/>
        </w:rPr>
      </w:pPr>
      <w:r>
        <w:rPr>
          <w:rFonts w:hint="eastAsia"/>
          <w:b w:val="0"/>
          <w:bCs/>
          <w:highlight w:val="none"/>
        </w:rPr>
        <w:t>2、协议供货期为</w:t>
      </w:r>
      <w:r>
        <w:rPr>
          <w:rFonts w:hint="eastAsia"/>
          <w:b w:val="0"/>
          <w:bCs/>
          <w:highlight w:val="none"/>
          <w:lang w:eastAsia="zh-CN"/>
        </w:rPr>
        <w:t>合同签订之日起</w:t>
      </w:r>
      <w:r>
        <w:rPr>
          <w:rFonts w:hint="eastAsia"/>
          <w:b w:val="0"/>
          <w:bCs/>
          <w:highlight w:val="none"/>
        </w:rPr>
        <w:t>至202</w:t>
      </w:r>
      <w:r>
        <w:rPr>
          <w:rFonts w:hint="eastAsia"/>
          <w:b w:val="0"/>
          <w:bCs/>
          <w:highlight w:val="none"/>
          <w:lang w:val="en-US" w:eastAsia="zh-CN"/>
        </w:rPr>
        <w:t>5</w:t>
      </w:r>
      <w:r>
        <w:rPr>
          <w:rFonts w:hint="eastAsia"/>
          <w:b w:val="0"/>
          <w:bCs/>
          <w:highlight w:val="none"/>
        </w:rPr>
        <w:t>年</w:t>
      </w:r>
      <w:r>
        <w:rPr>
          <w:rFonts w:hint="eastAsia"/>
          <w:b w:val="0"/>
          <w:bCs/>
          <w:highlight w:val="none"/>
          <w:lang w:val="en-US" w:eastAsia="zh-CN"/>
        </w:rPr>
        <w:t>7</w:t>
      </w:r>
      <w:r>
        <w:rPr>
          <w:rFonts w:hint="eastAsia"/>
          <w:b w:val="0"/>
          <w:bCs/>
          <w:highlight w:val="none"/>
        </w:rPr>
        <w:t>月</w:t>
      </w:r>
      <w:r>
        <w:rPr>
          <w:rFonts w:hint="eastAsia"/>
          <w:b w:val="0"/>
          <w:bCs/>
          <w:highlight w:val="none"/>
          <w:lang w:val="en-US" w:eastAsia="zh-CN"/>
        </w:rPr>
        <w:t>31</w:t>
      </w:r>
      <w:r>
        <w:rPr>
          <w:rFonts w:hint="eastAsia"/>
          <w:b w:val="0"/>
          <w:bCs/>
          <w:highlight w:val="none"/>
        </w:rPr>
        <w:t>日止。供货期内因政策调整等不可抗拒因素需终止供货的，采购人提前通知中标供应商。</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w:t>
      </w:r>
      <w:r>
        <w:rPr>
          <w:rFonts w:hint="eastAsia"/>
          <w:b w:val="0"/>
          <w:bCs/>
          <w:highlight w:val="none"/>
          <w:lang w:eastAsia="zh-CN"/>
        </w:rPr>
        <w:t>配送范围</w:t>
      </w:r>
      <w:r>
        <w:rPr>
          <w:rFonts w:hint="eastAsia"/>
          <w:b w:val="0"/>
          <w:bCs/>
          <w:highlight w:val="none"/>
        </w:rPr>
        <w:t>：</w:t>
      </w:r>
      <w:r>
        <w:rPr>
          <w:rFonts w:hint="eastAsia"/>
          <w:b w:val="0"/>
          <w:bCs/>
          <w:highlight w:val="none"/>
          <w:lang w:val="en-US" w:eastAsia="zh-CN"/>
        </w:rPr>
        <w:t>金坛区公办中小学幼儿园</w:t>
      </w:r>
      <w:r>
        <w:rPr>
          <w:rFonts w:hint="eastAsia"/>
          <w:b w:val="0"/>
          <w:bCs/>
          <w:highlight w:val="none"/>
        </w:rPr>
        <w:t>。</w:t>
      </w:r>
    </w:p>
    <w:p>
      <w:pPr>
        <w:pStyle w:val="21"/>
        <w:adjustRightInd w:val="0"/>
        <w:spacing w:line="360" w:lineRule="auto"/>
        <w:ind w:firstLine="480"/>
        <w:contextualSpacing/>
        <w:jc w:val="left"/>
        <w:rPr>
          <w:rFonts w:hint="eastAsia"/>
          <w:b/>
          <w:bCs w:val="0"/>
          <w:highlight w:val="none"/>
        </w:rPr>
      </w:pPr>
      <w:r>
        <w:rPr>
          <w:rFonts w:hint="eastAsia"/>
          <w:b/>
          <w:bCs w:val="0"/>
          <w:highlight w:val="none"/>
        </w:rPr>
        <w:t>★4、本项目采用综合评分法，投标供应商需承诺二次竞价时报价不超过当时</w:t>
      </w:r>
      <w:r>
        <w:rPr>
          <w:rFonts w:hint="eastAsia"/>
          <w:b/>
          <w:bCs w:val="0"/>
          <w:highlight w:val="none"/>
          <w:lang w:eastAsia="zh-CN"/>
        </w:rPr>
        <w:t>常州市金坛区大型商超</w:t>
      </w:r>
      <w:r>
        <w:rPr>
          <w:rFonts w:hint="eastAsia"/>
          <w:b/>
          <w:bCs w:val="0"/>
          <w:highlight w:val="none"/>
        </w:rPr>
        <w:t>均价的90%。（提供承诺函</w:t>
      </w:r>
      <w:r>
        <w:rPr>
          <w:rFonts w:hint="eastAsia"/>
          <w:b/>
          <w:bCs w:val="0"/>
          <w:highlight w:val="none"/>
          <w:lang w:eastAsia="zh-CN"/>
        </w:rPr>
        <w:t>，格式自拟</w:t>
      </w:r>
      <w:r>
        <w:rPr>
          <w:rFonts w:hint="eastAsia"/>
          <w:b/>
          <w:bCs w:val="0"/>
          <w:highlight w:val="none"/>
        </w:rPr>
        <w:t>）</w:t>
      </w:r>
    </w:p>
    <w:p>
      <w:pPr>
        <w:pStyle w:val="21"/>
        <w:adjustRightInd w:val="0"/>
        <w:spacing w:line="360" w:lineRule="auto"/>
        <w:ind w:firstLine="480"/>
        <w:contextualSpacing/>
        <w:jc w:val="left"/>
        <w:rPr>
          <w:rFonts w:hint="eastAsia"/>
          <w:b w:val="0"/>
          <w:bCs/>
          <w:highlight w:val="none"/>
        </w:rPr>
      </w:pPr>
      <w:r>
        <w:rPr>
          <w:rFonts w:hint="eastAsia"/>
          <w:b w:val="0"/>
          <w:bCs/>
          <w:highlight w:val="none"/>
          <w:lang w:val="en-US" w:eastAsia="zh-CN"/>
        </w:rPr>
        <w:t>5</w:t>
      </w:r>
      <w:r>
        <w:rPr>
          <w:rFonts w:hint="eastAsia"/>
          <w:b w:val="0"/>
          <w:bCs/>
          <w:highlight w:val="none"/>
        </w:rPr>
        <w:t>、定价周期：定价周期每个学期两次（具体时间另行决定），通过</w:t>
      </w:r>
      <w:r>
        <w:rPr>
          <w:rFonts w:hint="eastAsia"/>
          <w:b w:val="0"/>
          <w:bCs/>
          <w:highlight w:val="none"/>
          <w:lang w:eastAsia="zh-CN"/>
        </w:rPr>
        <w:t>常州市金坛区学校阳光食堂综合智能服务平台</w:t>
      </w:r>
      <w:r>
        <w:rPr>
          <w:rFonts w:hint="eastAsia"/>
          <w:b w:val="0"/>
          <w:bCs/>
          <w:highlight w:val="none"/>
        </w:rPr>
        <w:t>建进行二次竞价，报价最低的为当期食用油</w:t>
      </w:r>
      <w:r>
        <w:rPr>
          <w:rFonts w:hint="eastAsia"/>
          <w:b w:val="0"/>
          <w:bCs/>
          <w:highlight w:val="none"/>
          <w:lang w:eastAsia="zh-CN"/>
        </w:rPr>
        <w:t>和</w:t>
      </w:r>
      <w:r>
        <w:rPr>
          <w:rFonts w:hint="eastAsia"/>
          <w:b w:val="0"/>
          <w:bCs/>
          <w:highlight w:val="none"/>
        </w:rPr>
        <w:t>调味品供货商。</w:t>
      </w:r>
    </w:p>
    <w:p>
      <w:pPr>
        <w:pStyle w:val="21"/>
        <w:adjustRightInd w:val="0"/>
        <w:spacing w:line="360" w:lineRule="auto"/>
        <w:ind w:firstLine="480"/>
        <w:contextualSpacing/>
        <w:jc w:val="left"/>
        <w:rPr>
          <w:rFonts w:hint="eastAsia"/>
          <w:b w:val="0"/>
          <w:bCs/>
          <w:highlight w:val="none"/>
        </w:rPr>
      </w:pPr>
      <w:r>
        <w:rPr>
          <w:rFonts w:hint="eastAsia"/>
          <w:b w:val="0"/>
          <w:bCs/>
          <w:highlight w:val="none"/>
        </w:rPr>
        <w:t>6、 为学校提供食堂用工服务的供应商，不得参与该校（或食堂）的</w:t>
      </w:r>
      <w:r>
        <w:rPr>
          <w:rFonts w:hint="eastAsia"/>
          <w:b w:val="0"/>
          <w:bCs/>
          <w:highlight w:val="none"/>
          <w:lang w:eastAsia="zh-CN"/>
        </w:rPr>
        <w:t>食用油和调味品</w:t>
      </w:r>
      <w:r>
        <w:rPr>
          <w:rFonts w:hint="eastAsia"/>
          <w:b w:val="0"/>
          <w:bCs/>
          <w:highlight w:val="none"/>
        </w:rPr>
        <w:t>配送</w:t>
      </w:r>
      <w:r>
        <w:rPr>
          <w:rFonts w:hint="eastAsia"/>
          <w:b w:val="0"/>
          <w:bCs/>
          <w:highlight w:val="none"/>
          <w:lang w:eastAsia="zh-CN"/>
        </w:rPr>
        <w:t>的二次竞价</w:t>
      </w:r>
      <w:r>
        <w:rPr>
          <w:rFonts w:hint="eastAsia"/>
          <w:b w:val="0"/>
          <w:bCs/>
          <w:highlight w:val="none"/>
        </w:rPr>
        <w:t>。该供货商提供用工服务的学校，由报价次低的供货商替补。</w:t>
      </w:r>
    </w:p>
    <w:p>
      <w:pPr>
        <w:pStyle w:val="21"/>
        <w:adjustRightInd w:val="0"/>
        <w:spacing w:line="360" w:lineRule="auto"/>
        <w:ind w:firstLine="480"/>
        <w:contextualSpacing/>
        <w:jc w:val="left"/>
        <w:rPr>
          <w:rFonts w:hint="eastAsia"/>
          <w:b w:val="0"/>
          <w:bCs/>
          <w:highlight w:val="none"/>
        </w:rPr>
      </w:pPr>
      <w:r>
        <w:rPr>
          <w:rFonts w:hint="eastAsia"/>
          <w:b w:val="0"/>
          <w:bCs/>
          <w:highlight w:val="none"/>
        </w:rPr>
        <w:t>7、结算方式：每个供货周期结束后，经考核合格一周内结清，不得要求学校现金支付。</w:t>
      </w:r>
    </w:p>
    <w:p>
      <w:pPr>
        <w:pStyle w:val="21"/>
        <w:adjustRightInd w:val="0"/>
        <w:spacing w:line="360" w:lineRule="auto"/>
        <w:ind w:firstLine="480"/>
        <w:contextualSpacing/>
        <w:jc w:val="left"/>
        <w:rPr>
          <w:rFonts w:hint="eastAsia"/>
          <w:b w:val="0"/>
          <w:bCs/>
          <w:highlight w:val="none"/>
        </w:rPr>
      </w:pPr>
      <w:r>
        <w:rPr>
          <w:rFonts w:hint="eastAsia"/>
          <w:b w:val="0"/>
          <w:bCs/>
          <w:highlight w:val="none"/>
        </w:rPr>
        <w:t>8、本项目中带★要求均为实质性要求，不能出现负偏离，否则为无效响应。</w:t>
      </w:r>
    </w:p>
    <w:p>
      <w:pPr>
        <w:pStyle w:val="21"/>
        <w:adjustRightInd w:val="0"/>
        <w:spacing w:line="360" w:lineRule="auto"/>
        <w:ind w:firstLine="480"/>
        <w:contextualSpacing/>
        <w:jc w:val="left"/>
        <w:rPr>
          <w:rFonts w:hint="eastAsia"/>
          <w:b w:val="0"/>
          <w:bCs/>
          <w:highlight w:val="none"/>
        </w:rPr>
      </w:pPr>
      <w:r>
        <w:rPr>
          <w:rFonts w:hint="eastAsia"/>
          <w:b w:val="0"/>
          <w:bCs/>
          <w:highlight w:val="none"/>
        </w:rPr>
        <w:t>二、品类清单：</w:t>
      </w:r>
    </w:p>
    <w:p>
      <w:pPr>
        <w:pStyle w:val="21"/>
        <w:adjustRightInd w:val="0"/>
        <w:spacing w:line="360" w:lineRule="auto"/>
        <w:ind w:firstLine="480"/>
        <w:contextualSpacing/>
        <w:jc w:val="left"/>
        <w:rPr>
          <w:rFonts w:hint="eastAsia"/>
          <w:b w:val="0"/>
          <w:bCs/>
          <w:highlight w:val="none"/>
        </w:rPr>
      </w:pPr>
      <w:r>
        <w:rPr>
          <w:rFonts w:hint="eastAsia"/>
          <w:b w:val="0"/>
          <w:bCs/>
          <w:highlight w:val="none"/>
        </w:rPr>
        <w:t>品类清单由金坛区教育局统一制定，</w:t>
      </w:r>
      <w:r>
        <w:rPr>
          <w:rFonts w:hint="eastAsia"/>
          <w:b w:val="0"/>
          <w:bCs/>
          <w:highlight w:val="none"/>
          <w:lang w:eastAsia="zh-CN"/>
        </w:rPr>
        <w:t>金坛区</w:t>
      </w:r>
      <w:r>
        <w:rPr>
          <w:rFonts w:hint="eastAsia"/>
          <w:b w:val="0"/>
          <w:bCs/>
          <w:highlight w:val="none"/>
        </w:rPr>
        <w:t>教育局将根据政策及市场情况随时进行微调。</w:t>
      </w:r>
    </w:p>
    <w:p>
      <w:pPr>
        <w:pStyle w:val="21"/>
        <w:adjustRightInd w:val="0"/>
        <w:spacing w:line="360" w:lineRule="auto"/>
        <w:ind w:firstLine="480"/>
        <w:contextualSpacing/>
        <w:jc w:val="left"/>
        <w:rPr>
          <w:rFonts w:hint="eastAsia"/>
          <w:b w:val="0"/>
          <w:bCs/>
          <w:highlight w:val="none"/>
        </w:rPr>
      </w:pPr>
      <w:r>
        <w:rPr>
          <w:rFonts w:hint="eastAsia"/>
          <w:b w:val="0"/>
          <w:bCs/>
          <w:highlight w:val="none"/>
        </w:rPr>
        <w:t>★三、项目服务要求：</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1、供货服务要求：</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1.1 具体送货时间和送货清单根据各学校的需求确定。</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1.2投标人供应的食用油和调味品必须符合《中华人民共和国食品安全法》及有关食品安全标准；每次的供货清单须是打印稿，并仔细核对采购清单，确保各所学校食堂所需的食品原材料品种、品牌、规格、数量、质量等准确无误，并在规定时间内送达；投标人向各学校食堂提供商品的品牌、规格必须与合同规定一致，严禁擅自更换商品品牌、规格，如发现擅自更换商品品牌、规格，以及食用油和调味品卫生质量问题或者以次充好，投标人应无条件退货或换货，并根据合同规定进行处理。</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1.3投标人严禁提供《中华人民共和国食品安全法》第三十四条明令禁止生产经营的食品。</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1.4每次供货均需提</w:t>
      </w:r>
      <w:r>
        <w:rPr>
          <w:rFonts w:hint="eastAsia"/>
          <w:b w:val="0"/>
          <w:bCs/>
          <w:highlight w:val="none"/>
          <w:lang w:eastAsia="zh-CN"/>
        </w:rPr>
        <w:t>供</w:t>
      </w:r>
      <w:r>
        <w:rPr>
          <w:rFonts w:hint="eastAsia"/>
          <w:b w:val="0"/>
          <w:bCs/>
          <w:highlight w:val="none"/>
        </w:rPr>
        <w:t>食用油和调味品检验合格证等合格证明材料。未按照索证索票要求提供材料的，将按照相关考核要求进行处理。</w:t>
      </w:r>
    </w:p>
    <w:p>
      <w:pPr>
        <w:pStyle w:val="21"/>
        <w:adjustRightInd w:val="0"/>
        <w:spacing w:line="360" w:lineRule="auto"/>
        <w:ind w:firstLine="480"/>
        <w:contextualSpacing/>
        <w:jc w:val="left"/>
        <w:rPr>
          <w:rFonts w:hint="eastAsia"/>
          <w:b/>
          <w:bCs w:val="0"/>
          <w:highlight w:val="none"/>
        </w:rPr>
      </w:pPr>
      <w:r>
        <w:rPr>
          <w:rFonts w:hint="eastAsia"/>
          <w:b/>
          <w:bCs w:val="0"/>
          <w:highlight w:val="none"/>
        </w:rPr>
        <w:t>1.5投标人应自备至少一辆运输车辆用于本项目服务，城区通行证等相关证件由投标人自行办理。（提供承诺函</w:t>
      </w:r>
      <w:r>
        <w:rPr>
          <w:rFonts w:hint="eastAsia"/>
          <w:b/>
          <w:bCs w:val="0"/>
          <w:highlight w:val="none"/>
          <w:lang w:val="en-US" w:eastAsia="zh-CN"/>
        </w:rPr>
        <w:t>，格式自拟</w:t>
      </w:r>
      <w:r>
        <w:rPr>
          <w:rFonts w:hint="eastAsia"/>
          <w:b/>
          <w:bCs w:val="0"/>
          <w:highlight w:val="none"/>
        </w:rPr>
        <w:t>）</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1.6投标人所投入的所有送货货车消毒记录（主要包含消毒人员、是否消毒、消毒时间等）。要求每天要对车辆进行消毒，并做好相应记录，以备核查。</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1.7投标人所投入的所有运输车辆，如车身需喷涂，粘贴广告图案、文字等内容，需符合教育局等相关部门的规定及要求。</w:t>
      </w:r>
    </w:p>
    <w:p>
      <w:pPr>
        <w:pStyle w:val="21"/>
        <w:adjustRightInd w:val="0"/>
        <w:spacing w:line="360" w:lineRule="auto"/>
        <w:ind w:firstLine="480"/>
        <w:contextualSpacing/>
        <w:jc w:val="left"/>
        <w:rPr>
          <w:rFonts w:hint="eastAsia"/>
          <w:b w:val="0"/>
          <w:bCs/>
          <w:highlight w:val="none"/>
        </w:rPr>
      </w:pPr>
      <w:r>
        <w:rPr>
          <w:rFonts w:hint="eastAsia"/>
          <w:b w:val="0"/>
          <w:bCs/>
          <w:highlight w:val="none"/>
        </w:rPr>
        <w:t>2、供货人员要求：</w:t>
      </w:r>
    </w:p>
    <w:p>
      <w:pPr>
        <w:pStyle w:val="21"/>
        <w:adjustRightInd w:val="0"/>
        <w:spacing w:line="360" w:lineRule="auto"/>
        <w:ind w:firstLine="480"/>
        <w:contextualSpacing/>
        <w:jc w:val="left"/>
        <w:rPr>
          <w:rFonts w:hint="eastAsia"/>
          <w:b w:val="0"/>
          <w:bCs/>
          <w:highlight w:val="none"/>
        </w:rPr>
      </w:pPr>
      <w:r>
        <w:rPr>
          <w:rFonts w:hint="eastAsia"/>
          <w:b w:val="0"/>
          <w:bCs/>
          <w:highlight w:val="none"/>
        </w:rPr>
        <w:t>2.1人员配备数量应</w:t>
      </w:r>
      <w:r>
        <w:rPr>
          <w:rFonts w:hint="eastAsia"/>
          <w:b w:val="0"/>
          <w:bCs/>
          <w:highlight w:val="none"/>
          <w:lang w:eastAsia="zh-CN"/>
        </w:rPr>
        <w:t>满足</w:t>
      </w:r>
      <w:r>
        <w:rPr>
          <w:rFonts w:hint="eastAsia"/>
          <w:b w:val="0"/>
          <w:bCs/>
          <w:highlight w:val="none"/>
        </w:rPr>
        <w:t>本项目服务要求。</w:t>
      </w:r>
    </w:p>
    <w:p>
      <w:pPr>
        <w:pStyle w:val="21"/>
        <w:adjustRightInd w:val="0"/>
        <w:spacing w:line="360" w:lineRule="auto"/>
        <w:ind w:firstLine="480"/>
        <w:contextualSpacing/>
        <w:jc w:val="left"/>
        <w:rPr>
          <w:rFonts w:hint="eastAsia"/>
          <w:b w:val="0"/>
          <w:bCs/>
          <w:highlight w:val="none"/>
        </w:rPr>
      </w:pPr>
      <w:r>
        <w:rPr>
          <w:rFonts w:hint="eastAsia"/>
          <w:b w:val="0"/>
          <w:bCs/>
          <w:highlight w:val="none"/>
        </w:rPr>
        <w:t>2.2身体健康，无传染性疾病、精神疾病，具有有效健康合格证明。</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3、中标供应商接入</w:t>
      </w:r>
      <w:r>
        <w:rPr>
          <w:rFonts w:hint="eastAsia"/>
          <w:b w:val="0"/>
          <w:bCs/>
          <w:highlight w:val="none"/>
          <w:lang w:eastAsia="zh-CN"/>
        </w:rPr>
        <w:t>常州市金坛区学校阳光食堂综合智能服务平台</w:t>
      </w:r>
      <w:r>
        <w:rPr>
          <w:rFonts w:hint="eastAsia"/>
          <w:b w:val="0"/>
          <w:bCs/>
          <w:highlight w:val="none"/>
        </w:rPr>
        <w:t>服务要求：</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3.1投标人中标后，须应用</w:t>
      </w:r>
      <w:r>
        <w:rPr>
          <w:rFonts w:hint="eastAsia"/>
          <w:b w:val="0"/>
          <w:bCs/>
          <w:highlight w:val="none"/>
          <w:lang w:eastAsia="zh-CN"/>
        </w:rPr>
        <w:t>常州市金坛区学校阳光食堂综合智能服务平台</w:t>
      </w:r>
      <w:r>
        <w:rPr>
          <w:rFonts w:hint="eastAsia"/>
          <w:b w:val="0"/>
          <w:bCs/>
          <w:highlight w:val="none"/>
        </w:rPr>
        <w:t>，在规定时间内进行合理报价，若出现不按时报价、选择性报价、恶意报价等情况，按照扣分细则进行处罚。</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3.2 投标人中标后，须按统一要求与格式签订中标合同、供货合同与廉政协议。</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3.3投标人中标后，按系统自动生成的订单，与学校方进行核对确认备货，若有调整修改，须全部通过</w:t>
      </w:r>
      <w:r>
        <w:rPr>
          <w:rFonts w:hint="eastAsia"/>
          <w:b w:val="0"/>
          <w:bCs/>
          <w:highlight w:val="none"/>
          <w:lang w:eastAsia="zh-CN"/>
        </w:rPr>
        <w:t>常州市金坛区学校阳光食堂综合智能服务平台</w:t>
      </w:r>
      <w:r>
        <w:rPr>
          <w:rFonts w:hint="eastAsia"/>
          <w:b w:val="0"/>
          <w:bCs/>
          <w:highlight w:val="none"/>
        </w:rPr>
        <w:t>进行操作，不得线下自行交易。</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3.4投标人在订单修改时间截止后，应用</w:t>
      </w:r>
      <w:r>
        <w:rPr>
          <w:rFonts w:hint="eastAsia"/>
          <w:b w:val="0"/>
          <w:bCs/>
          <w:highlight w:val="none"/>
          <w:lang w:eastAsia="zh-CN"/>
        </w:rPr>
        <w:t>常州市金坛区学校阳光食堂综合智能服务平台</w:t>
      </w:r>
      <w:r>
        <w:rPr>
          <w:rFonts w:hint="eastAsia"/>
          <w:b w:val="0"/>
          <w:bCs/>
          <w:highlight w:val="none"/>
        </w:rPr>
        <w:t>可打印订单与货品汇总情况进行及时备货，若有疑问与变化，须电话与学校方进行沟通；投标人须应用</w:t>
      </w:r>
      <w:r>
        <w:rPr>
          <w:rFonts w:hint="eastAsia"/>
          <w:b w:val="0"/>
          <w:bCs/>
          <w:highlight w:val="none"/>
          <w:lang w:eastAsia="zh-CN"/>
        </w:rPr>
        <w:t>常州市金坛区学校阳光食堂综合智能服务平台</w:t>
      </w:r>
      <w:r>
        <w:rPr>
          <w:rFonts w:hint="eastAsia"/>
          <w:b w:val="0"/>
          <w:bCs/>
          <w:highlight w:val="none"/>
        </w:rPr>
        <w:t>，如实填写供货品种的生产日期，并打印“学校食用油和调味品统一配送单（带有溯源二维条形码）”。</w:t>
      </w:r>
    </w:p>
    <w:p>
      <w:pPr>
        <w:pStyle w:val="21"/>
        <w:adjustRightInd w:val="0"/>
        <w:spacing w:line="360" w:lineRule="auto"/>
        <w:ind w:firstLine="480"/>
        <w:contextualSpacing/>
        <w:jc w:val="left"/>
        <w:rPr>
          <w:rFonts w:hint="eastAsia"/>
          <w:b w:val="0"/>
          <w:bCs/>
          <w:highlight w:val="yellow"/>
        </w:rPr>
      </w:pPr>
      <w:r>
        <w:rPr>
          <w:rFonts w:hint="eastAsia"/>
          <w:b w:val="0"/>
          <w:bCs/>
          <w:highlight w:val="none"/>
        </w:rPr>
        <w:t>3.5投标人的快检设备须接入</w:t>
      </w:r>
      <w:r>
        <w:rPr>
          <w:rFonts w:hint="eastAsia"/>
          <w:b w:val="0"/>
          <w:bCs/>
          <w:highlight w:val="none"/>
          <w:lang w:eastAsia="zh-CN"/>
        </w:rPr>
        <w:t>常州市金坛区学校阳光食堂综合智能服务平台</w:t>
      </w:r>
      <w:r>
        <w:rPr>
          <w:rFonts w:hint="eastAsia"/>
          <w:b w:val="0"/>
          <w:bCs/>
          <w:highlight w:val="none"/>
        </w:rPr>
        <w:t>，实时上传</w:t>
      </w:r>
      <w:r>
        <w:rPr>
          <w:rFonts w:hint="eastAsia"/>
          <w:b w:val="0"/>
          <w:bCs/>
          <w:highlight w:val="none"/>
          <w:lang w:eastAsia="zh-CN"/>
        </w:rPr>
        <w:t>常州市金坛区学校阳光食堂综合智能服务平台</w:t>
      </w:r>
      <w:r>
        <w:rPr>
          <w:rFonts w:hint="eastAsia"/>
          <w:b w:val="0"/>
          <w:bCs/>
          <w:highlight w:val="none"/>
        </w:rPr>
        <w:t>与市场监督管理局监管平台，禁止手工修改。</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3.6学校在验收过程，如果发生应急事宜，需要临时补货，投标人须应用</w:t>
      </w:r>
      <w:r>
        <w:rPr>
          <w:rFonts w:hint="eastAsia"/>
          <w:b w:val="0"/>
          <w:bCs/>
          <w:highlight w:val="none"/>
          <w:lang w:eastAsia="zh-CN"/>
        </w:rPr>
        <w:t>常州市金坛区学校阳光食堂综合智能服务平台</w:t>
      </w:r>
      <w:r>
        <w:rPr>
          <w:rFonts w:hint="eastAsia"/>
          <w:b w:val="0"/>
          <w:bCs/>
          <w:highlight w:val="none"/>
        </w:rPr>
        <w:t>，进行发货单填写，随货物一起补送至学校。</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3.7学校现场应用智能溯源核磅秤进行验收，投标人须在线进行签字确认，若有异议应当场解决，不得事后线下操作。</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3.8学校按时进行线上考核评</w:t>
      </w:r>
      <w:r>
        <w:rPr>
          <w:rFonts w:hint="eastAsia"/>
          <w:b w:val="0"/>
          <w:bCs/>
          <w:highlight w:val="none"/>
          <w:lang w:val="en-US" w:eastAsia="zh-CN"/>
        </w:rPr>
        <w:t>价</w:t>
      </w:r>
      <w:r>
        <w:rPr>
          <w:rFonts w:hint="eastAsia"/>
          <w:b w:val="0"/>
          <w:bCs/>
          <w:highlight w:val="none"/>
        </w:rPr>
        <w:t>后，投标人应及时进行确认操作。</w:t>
      </w:r>
    </w:p>
    <w:p>
      <w:pPr>
        <w:pStyle w:val="21"/>
        <w:adjustRightInd w:val="0"/>
        <w:spacing w:line="360" w:lineRule="auto"/>
        <w:ind w:firstLine="480"/>
        <w:contextualSpacing/>
        <w:jc w:val="left"/>
        <w:rPr>
          <w:rFonts w:hint="eastAsia"/>
          <w:b w:val="0"/>
          <w:bCs/>
          <w:highlight w:val="none"/>
        </w:rPr>
      </w:pPr>
      <w:r>
        <w:rPr>
          <w:rFonts w:hint="eastAsia"/>
          <w:b w:val="0"/>
          <w:bCs/>
          <w:highlight w:val="none"/>
        </w:rPr>
        <w:t>★四、食用油和调味品质量要求</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1.食用油质量要求：要求提供的食用油均为非转基因产品，须提供该批次的检测报告和产品合格证，标签上应有品名、厂名、厂址、生产日期、保质期等内容。验收确认产品的色、香、味、形等感官性状正常；</w:t>
      </w:r>
    </w:p>
    <w:p>
      <w:pPr>
        <w:pStyle w:val="21"/>
        <w:adjustRightInd w:val="0"/>
        <w:spacing w:line="360" w:lineRule="auto"/>
        <w:ind w:firstLine="480"/>
        <w:contextualSpacing/>
        <w:jc w:val="left"/>
        <w:rPr>
          <w:rFonts w:hint="eastAsia"/>
          <w:b w:val="0"/>
          <w:bCs/>
          <w:highlight w:val="none"/>
        </w:rPr>
      </w:pPr>
      <w:r>
        <w:rPr>
          <w:rFonts w:hint="eastAsia"/>
          <w:b w:val="0"/>
          <w:bCs/>
          <w:highlight w:val="none"/>
        </w:rPr>
        <w:t>2.调味品质量要求：酱油符合GB18186-2000标准，味精符合GB 2720-2015标准，生粉（淀粉制品）符合GB 2713-2015标准，食糖符合GB 13104-2014卫生标准，醋符合GB/T18623-2011标准，酿造食醋符合GB18187-2000标准。</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3.食品添加剂质量要求：食品添加剂应符合相应的食品安全标准，添加剂的使用必须符合GB 2760-2014标准，对食品的添加量严格控制在标准规定范围之内。</w:t>
      </w:r>
    </w:p>
    <w:p>
      <w:pPr>
        <w:pStyle w:val="21"/>
        <w:adjustRightInd w:val="0"/>
        <w:spacing w:line="360" w:lineRule="auto"/>
        <w:ind w:firstLine="480"/>
        <w:contextualSpacing/>
        <w:jc w:val="left"/>
        <w:rPr>
          <w:rFonts w:hint="eastAsia"/>
          <w:b w:val="0"/>
          <w:bCs/>
          <w:highlight w:val="none"/>
        </w:rPr>
      </w:pPr>
      <w:r>
        <w:rPr>
          <w:rFonts w:hint="eastAsia"/>
          <w:b w:val="0"/>
          <w:bCs/>
          <w:highlight w:val="none"/>
        </w:rPr>
        <w:t>4. 以上未列出的食用油和调味品均要符合相关国家执行标准。</w:t>
      </w:r>
    </w:p>
    <w:p>
      <w:pPr>
        <w:pStyle w:val="21"/>
        <w:adjustRightInd w:val="0"/>
        <w:spacing w:line="360" w:lineRule="auto"/>
        <w:ind w:firstLine="480"/>
        <w:contextualSpacing/>
        <w:jc w:val="left"/>
        <w:rPr>
          <w:rFonts w:hint="eastAsia"/>
          <w:b w:val="0"/>
          <w:bCs/>
          <w:highlight w:val="none"/>
        </w:rPr>
      </w:pPr>
      <w:r>
        <w:rPr>
          <w:rFonts w:hint="eastAsia"/>
          <w:b/>
          <w:highlight w:val="none"/>
        </w:rPr>
        <w:t>注：以上质量标准如有新的国家或行业标准出台，则以最新标准执行。</w:t>
      </w:r>
    </w:p>
    <w:p>
      <w:pPr>
        <w:pStyle w:val="21"/>
        <w:adjustRightInd w:val="0"/>
        <w:spacing w:line="360" w:lineRule="auto"/>
        <w:ind w:firstLine="480"/>
        <w:contextualSpacing/>
        <w:jc w:val="left"/>
        <w:rPr>
          <w:rFonts w:hint="eastAsia"/>
          <w:b w:val="0"/>
          <w:bCs/>
          <w:highlight w:val="none"/>
        </w:rPr>
      </w:pPr>
      <w:r>
        <w:rPr>
          <w:rFonts w:hint="eastAsia"/>
          <w:b w:val="0"/>
          <w:bCs/>
          <w:highlight w:val="none"/>
        </w:rPr>
        <w:t>★五、准入退出制度：本项目执行准入退出制度，</w:t>
      </w:r>
      <w:r>
        <w:rPr>
          <w:rFonts w:hint="eastAsia"/>
          <w:b w:val="0"/>
          <w:bCs/>
          <w:highlight w:val="none"/>
          <w:lang w:eastAsia="zh-CN"/>
        </w:rPr>
        <w:t>每个供货期内</w:t>
      </w:r>
      <w:r>
        <w:rPr>
          <w:rFonts w:hint="eastAsia"/>
          <w:b w:val="0"/>
          <w:bCs/>
          <w:highlight w:val="none"/>
        </w:rPr>
        <w:t>经考核，扣分达达到相应分值后执行以下惩罚措施。</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 累计扣分达到10分，暂停一次竞价资格。</w:t>
      </w:r>
    </w:p>
    <w:p>
      <w:pPr>
        <w:pStyle w:val="21"/>
        <w:adjustRightInd w:val="0"/>
        <w:spacing w:line="360" w:lineRule="auto"/>
        <w:ind w:firstLine="480"/>
        <w:contextualSpacing/>
        <w:jc w:val="left"/>
        <w:rPr>
          <w:rFonts w:hint="eastAsia"/>
          <w:b w:val="0"/>
          <w:bCs/>
          <w:highlight w:val="none"/>
        </w:rPr>
      </w:pPr>
      <w:r>
        <w:rPr>
          <w:rFonts w:hint="eastAsia"/>
          <w:b w:val="0"/>
          <w:bCs/>
          <w:highlight w:val="none"/>
        </w:rPr>
        <w:t>2. 累计扣分达到20分，连续暂停三次竞价资格。</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 累计扣分达到40分，中止合同并且赔偿学校相关损失。</w:t>
      </w:r>
    </w:p>
    <w:p>
      <w:pPr>
        <w:pStyle w:val="21"/>
        <w:adjustRightInd w:val="0"/>
        <w:spacing w:line="360" w:lineRule="auto"/>
        <w:ind w:firstLine="480"/>
        <w:contextualSpacing/>
        <w:jc w:val="left"/>
        <w:rPr>
          <w:rFonts w:hint="eastAsia"/>
          <w:b w:val="0"/>
          <w:bCs/>
          <w:highlight w:val="none"/>
        </w:rPr>
      </w:pPr>
      <w:r>
        <w:rPr>
          <w:rFonts w:hint="eastAsia"/>
          <w:b w:val="0"/>
          <w:bCs/>
          <w:highlight w:val="none"/>
        </w:rPr>
        <w:t>4．供货期间，</w:t>
      </w:r>
      <w:r>
        <w:rPr>
          <w:rFonts w:hint="eastAsia"/>
          <w:b w:val="0"/>
          <w:bCs/>
          <w:highlight w:val="none"/>
          <w:lang w:eastAsia="zh-CN"/>
        </w:rPr>
        <w:t>区</w:t>
      </w:r>
      <w:r>
        <w:rPr>
          <w:rFonts w:hint="eastAsia"/>
          <w:b w:val="0"/>
          <w:bCs/>
          <w:highlight w:val="none"/>
        </w:rPr>
        <w:t>教育局将联合市场监督管理部门对供应商品进行不定期抽检，发现有质量安全问题、过期产品或使用假冒品牌的产品，一经查实，由</w:t>
      </w:r>
      <w:r>
        <w:rPr>
          <w:rFonts w:hint="eastAsia"/>
          <w:b w:val="0"/>
          <w:bCs/>
          <w:highlight w:val="none"/>
          <w:lang w:eastAsia="zh-CN"/>
        </w:rPr>
        <w:t>区</w:t>
      </w:r>
      <w:r>
        <w:rPr>
          <w:rFonts w:hint="eastAsia"/>
          <w:b w:val="0"/>
          <w:bCs/>
          <w:highlight w:val="none"/>
        </w:rPr>
        <w:t>教育局约谈相关企业， 限定时间整改，约谈后拒不整改的，取消供货资格，3 年内不能参加</w:t>
      </w:r>
      <w:r>
        <w:rPr>
          <w:rFonts w:hint="eastAsia"/>
          <w:b w:val="0"/>
          <w:bCs/>
          <w:highlight w:val="none"/>
          <w:lang w:eastAsia="zh-CN"/>
        </w:rPr>
        <w:t>所有金坛区学校</w:t>
      </w:r>
      <w:r>
        <w:rPr>
          <w:rFonts w:hint="eastAsia"/>
          <w:b w:val="0"/>
          <w:bCs/>
          <w:highlight w:val="none"/>
        </w:rPr>
        <w:t>食堂食品原材料采购和配送。有重大食品安全问题的供应企业将纳入供应商黑名单。</w:t>
      </w:r>
    </w:p>
    <w:p>
      <w:pPr>
        <w:pStyle w:val="21"/>
        <w:adjustRightInd w:val="0"/>
        <w:spacing w:line="360" w:lineRule="auto"/>
        <w:ind w:firstLine="480"/>
        <w:contextualSpacing/>
        <w:jc w:val="left"/>
        <w:rPr>
          <w:rFonts w:hint="eastAsia"/>
          <w:b w:val="0"/>
          <w:bCs/>
          <w:highlight w:val="none"/>
        </w:rPr>
      </w:pPr>
      <w:r>
        <w:rPr>
          <w:rFonts w:hint="eastAsia"/>
          <w:b w:val="0"/>
          <w:bCs/>
          <w:highlight w:val="none"/>
        </w:rPr>
        <w:t>5．中标后，供货商将标的转让、转包或委托他人配送的，一经查实，由</w:t>
      </w:r>
      <w:r>
        <w:rPr>
          <w:rFonts w:hint="eastAsia"/>
          <w:b w:val="0"/>
          <w:bCs/>
          <w:highlight w:val="none"/>
          <w:lang w:eastAsia="zh-CN"/>
        </w:rPr>
        <w:t>区</w:t>
      </w:r>
      <w:r>
        <w:rPr>
          <w:rFonts w:hint="eastAsia"/>
          <w:b w:val="0"/>
          <w:bCs/>
          <w:highlight w:val="none"/>
        </w:rPr>
        <w:t>教育局约谈相关企业， 限定时间整改，约谈后拒不整改的，取消供货资格。3 年内不能参加</w:t>
      </w:r>
      <w:r>
        <w:rPr>
          <w:rFonts w:hint="eastAsia"/>
          <w:b w:val="0"/>
          <w:bCs/>
          <w:highlight w:val="none"/>
          <w:lang w:eastAsia="zh-CN"/>
        </w:rPr>
        <w:t>所有金坛区学校</w:t>
      </w:r>
      <w:r>
        <w:rPr>
          <w:rFonts w:hint="eastAsia"/>
          <w:b w:val="0"/>
          <w:bCs/>
          <w:highlight w:val="none"/>
        </w:rPr>
        <w:t>食堂食品原材料采购和配送。</w:t>
      </w:r>
    </w:p>
    <w:p>
      <w:pPr>
        <w:pStyle w:val="21"/>
        <w:adjustRightInd w:val="0"/>
        <w:spacing w:line="360" w:lineRule="auto"/>
        <w:ind w:firstLine="480"/>
        <w:contextualSpacing/>
        <w:jc w:val="left"/>
        <w:rPr>
          <w:rFonts w:hint="eastAsia"/>
          <w:b w:val="0"/>
          <w:bCs/>
          <w:highlight w:val="none"/>
        </w:rPr>
      </w:pPr>
      <w:r>
        <w:rPr>
          <w:rFonts w:hint="eastAsia"/>
          <w:b w:val="0"/>
          <w:bCs/>
          <w:highlight w:val="none"/>
        </w:rPr>
        <w:t>6． 在合同周期内，相关学校集中反应意见大的供货商，由</w:t>
      </w:r>
      <w:r>
        <w:rPr>
          <w:rFonts w:hint="eastAsia"/>
          <w:b w:val="0"/>
          <w:bCs/>
          <w:highlight w:val="none"/>
          <w:lang w:eastAsia="zh-CN"/>
        </w:rPr>
        <w:t>区</w:t>
      </w:r>
      <w:r>
        <w:rPr>
          <w:rFonts w:hint="eastAsia"/>
          <w:b w:val="0"/>
          <w:bCs/>
          <w:highlight w:val="none"/>
        </w:rPr>
        <w:t>教育局约谈相关企业， 限定时间整改，约谈后拒不整改的，取消供货资格。3 年内不能参加</w:t>
      </w:r>
      <w:r>
        <w:rPr>
          <w:rFonts w:hint="eastAsia"/>
          <w:b w:val="0"/>
          <w:bCs/>
          <w:highlight w:val="none"/>
          <w:lang w:eastAsia="zh-CN"/>
        </w:rPr>
        <w:t>所有金坛区学校</w:t>
      </w:r>
      <w:r>
        <w:rPr>
          <w:rFonts w:hint="eastAsia"/>
          <w:b w:val="0"/>
          <w:bCs/>
          <w:highlight w:val="none"/>
        </w:rPr>
        <w:t>食堂食品原材料采购和配送。</w:t>
      </w:r>
    </w:p>
    <w:p>
      <w:pPr>
        <w:pStyle w:val="21"/>
        <w:adjustRightInd w:val="0"/>
        <w:spacing w:line="360" w:lineRule="auto"/>
        <w:ind w:firstLine="480"/>
        <w:contextualSpacing/>
        <w:jc w:val="left"/>
        <w:rPr>
          <w:rFonts w:hint="eastAsia"/>
          <w:b w:val="0"/>
          <w:bCs/>
          <w:highlight w:val="none"/>
        </w:rPr>
      </w:pPr>
      <w:r>
        <w:rPr>
          <w:rFonts w:hint="eastAsia"/>
          <w:b w:val="0"/>
          <w:bCs/>
          <w:highlight w:val="none"/>
        </w:rPr>
        <w:t>7. 因供应商原因造成重大社会影响的，中止合同，并由投标供应商承担所有赔偿责任。</w:t>
      </w:r>
    </w:p>
    <w:p>
      <w:pPr>
        <w:pStyle w:val="21"/>
        <w:adjustRightInd w:val="0"/>
        <w:spacing w:line="360" w:lineRule="auto"/>
        <w:ind w:firstLine="480"/>
        <w:contextualSpacing/>
        <w:jc w:val="left"/>
        <w:rPr>
          <w:rFonts w:hint="eastAsia"/>
          <w:b w:val="0"/>
          <w:bCs/>
          <w:highlight w:val="none"/>
        </w:rPr>
      </w:pPr>
      <w:r>
        <w:rPr>
          <w:rFonts w:hint="eastAsia"/>
          <w:b w:val="0"/>
          <w:bCs/>
          <w:highlight w:val="none"/>
        </w:rPr>
        <w:t>8. 以上措施可能因政策和实际执行情况有所调整，投标供应商必须无条件接受并遵照执行。</w:t>
      </w:r>
    </w:p>
    <w:p>
      <w:pPr>
        <w:pStyle w:val="21"/>
        <w:adjustRightInd w:val="0"/>
        <w:spacing w:line="360" w:lineRule="auto"/>
        <w:ind w:firstLine="480"/>
        <w:contextualSpacing/>
        <w:jc w:val="left"/>
        <w:rPr>
          <w:rFonts w:hint="eastAsia"/>
          <w:b w:val="0"/>
          <w:bCs/>
          <w:highlight w:val="none"/>
        </w:rPr>
      </w:pPr>
      <w:r>
        <w:rPr>
          <w:rFonts w:hint="eastAsia"/>
          <w:b w:val="0"/>
          <w:bCs/>
          <w:highlight w:val="none"/>
        </w:rPr>
        <w:t xml:space="preserve">9. </w:t>
      </w:r>
      <w:r>
        <w:rPr>
          <w:rFonts w:hint="eastAsia"/>
          <w:b/>
          <w:bCs w:val="0"/>
          <w:highlight w:val="none"/>
        </w:rPr>
        <w:t>终止合同的，由</w:t>
      </w:r>
      <w:r>
        <w:rPr>
          <w:rFonts w:hint="eastAsia"/>
          <w:b/>
          <w:bCs w:val="0"/>
          <w:highlight w:val="none"/>
          <w:lang w:eastAsia="zh-CN"/>
        </w:rPr>
        <w:t>二次报价的次低价</w:t>
      </w:r>
      <w:r>
        <w:rPr>
          <w:rFonts w:hint="eastAsia"/>
          <w:b/>
          <w:bCs w:val="0"/>
          <w:highlight w:val="none"/>
        </w:rPr>
        <w:t>供应商递补</w:t>
      </w:r>
      <w:r>
        <w:rPr>
          <w:rFonts w:hint="eastAsia"/>
          <w:b w:val="0"/>
          <w:bCs/>
          <w:highlight w:val="none"/>
        </w:rPr>
        <w:t>。</w:t>
      </w:r>
    </w:p>
    <w:p>
      <w:pPr>
        <w:pStyle w:val="21"/>
        <w:adjustRightInd w:val="0"/>
        <w:spacing w:line="360" w:lineRule="auto"/>
        <w:ind w:firstLine="480"/>
        <w:contextualSpacing/>
        <w:jc w:val="left"/>
        <w:rPr>
          <w:rFonts w:hint="eastAsia"/>
          <w:b w:val="0"/>
          <w:bCs/>
          <w:highlight w:val="none"/>
        </w:rPr>
      </w:pPr>
      <w:r>
        <w:rPr>
          <w:rFonts w:hint="eastAsia"/>
          <w:b w:val="0"/>
          <w:bCs/>
          <w:highlight w:val="none"/>
        </w:rPr>
        <w:t>★六、一票否决制度</w:t>
      </w:r>
    </w:p>
    <w:p>
      <w:pPr>
        <w:pStyle w:val="21"/>
        <w:adjustRightInd w:val="0"/>
        <w:spacing w:line="360" w:lineRule="auto"/>
        <w:ind w:firstLine="480"/>
        <w:contextualSpacing/>
        <w:jc w:val="left"/>
        <w:rPr>
          <w:rFonts w:hint="eastAsia"/>
          <w:b/>
          <w:bCs w:val="0"/>
          <w:highlight w:val="none"/>
        </w:rPr>
      </w:pPr>
      <w:r>
        <w:rPr>
          <w:rFonts w:hint="eastAsia"/>
          <w:b w:val="0"/>
          <w:bCs/>
          <w:highlight w:val="none"/>
        </w:rPr>
        <w:t>供货商在在履行供货合同期间，如有以下情形之一的，相关学校可与供货商终止供货合同，供货商停止供货的时间以教育局书面通知为准。且该供货商3年内不得参与</w:t>
      </w:r>
      <w:r>
        <w:rPr>
          <w:rFonts w:hint="eastAsia"/>
          <w:b w:val="0"/>
          <w:bCs/>
          <w:highlight w:val="none"/>
          <w:lang w:eastAsia="zh-CN"/>
        </w:rPr>
        <w:t>所有金坛区学校</w:t>
      </w:r>
      <w:r>
        <w:rPr>
          <w:rFonts w:hint="eastAsia"/>
          <w:b w:val="0"/>
          <w:bCs/>
          <w:highlight w:val="none"/>
        </w:rPr>
        <w:t>食堂食品原材料采购和配送。</w:t>
      </w:r>
      <w:r>
        <w:rPr>
          <w:rFonts w:hint="eastAsia"/>
          <w:b/>
          <w:bCs w:val="0"/>
          <w:highlight w:val="none"/>
        </w:rPr>
        <w:t>终止合同的，由</w:t>
      </w:r>
      <w:r>
        <w:rPr>
          <w:rFonts w:hint="eastAsia"/>
          <w:b/>
          <w:bCs w:val="0"/>
          <w:highlight w:val="none"/>
          <w:lang w:eastAsia="zh-CN"/>
        </w:rPr>
        <w:t>二次报价的次低价</w:t>
      </w:r>
      <w:r>
        <w:rPr>
          <w:rFonts w:hint="eastAsia"/>
          <w:b/>
          <w:bCs w:val="0"/>
          <w:highlight w:val="none"/>
        </w:rPr>
        <w:t>供应商递补。</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 因食品原材料问题而发生学校食品安全事故的。</w:t>
      </w:r>
    </w:p>
    <w:p>
      <w:pPr>
        <w:pStyle w:val="21"/>
        <w:adjustRightInd w:val="0"/>
        <w:spacing w:line="360" w:lineRule="auto"/>
        <w:ind w:firstLine="480"/>
        <w:contextualSpacing/>
        <w:jc w:val="left"/>
        <w:rPr>
          <w:rFonts w:hint="eastAsia"/>
          <w:b w:val="0"/>
          <w:bCs/>
          <w:highlight w:val="none"/>
        </w:rPr>
      </w:pPr>
      <w:r>
        <w:rPr>
          <w:rFonts w:hint="eastAsia"/>
          <w:b w:val="0"/>
          <w:bCs/>
          <w:highlight w:val="none"/>
        </w:rPr>
        <w:t>2. 供货商提供的食品原材料被市场监管局抽检认定为存在质量问题的。</w:t>
      </w:r>
    </w:p>
    <w:p>
      <w:pPr>
        <w:pStyle w:val="21"/>
        <w:adjustRightInd w:val="0"/>
        <w:spacing w:line="360" w:lineRule="auto"/>
        <w:ind w:firstLine="480"/>
        <w:contextualSpacing/>
        <w:jc w:val="left"/>
        <w:rPr>
          <w:rFonts w:hint="eastAsia"/>
          <w:b w:val="0"/>
          <w:bCs/>
          <w:highlight w:val="none"/>
        </w:rPr>
      </w:pPr>
      <w:r>
        <w:rPr>
          <w:rFonts w:hint="eastAsia"/>
          <w:b w:val="0"/>
          <w:bCs/>
          <w:highlight w:val="none"/>
        </w:rPr>
        <w:t>3、相关证照被行政主管部门吊销的。</w:t>
      </w:r>
    </w:p>
    <w:p>
      <w:pPr>
        <w:pStyle w:val="21"/>
        <w:adjustRightInd w:val="0"/>
        <w:spacing w:line="360" w:lineRule="auto"/>
        <w:ind w:firstLine="480"/>
        <w:contextualSpacing/>
        <w:jc w:val="left"/>
        <w:rPr>
          <w:rFonts w:hint="eastAsia"/>
          <w:b w:val="0"/>
          <w:bCs/>
          <w:highlight w:val="none"/>
        </w:rPr>
      </w:pPr>
      <w:r>
        <w:rPr>
          <w:rFonts w:hint="eastAsia"/>
          <w:b w:val="0"/>
          <w:bCs/>
          <w:highlight w:val="none"/>
        </w:rPr>
        <w:t>七、其他：</w:t>
      </w:r>
    </w:p>
    <w:p>
      <w:pPr>
        <w:pStyle w:val="21"/>
        <w:adjustRightInd w:val="0"/>
        <w:spacing w:line="360" w:lineRule="auto"/>
        <w:ind w:firstLine="480"/>
        <w:contextualSpacing/>
        <w:jc w:val="left"/>
        <w:rPr>
          <w:rFonts w:hint="eastAsia"/>
          <w:b w:val="0"/>
          <w:bCs/>
          <w:highlight w:val="none"/>
        </w:rPr>
      </w:pPr>
      <w:r>
        <w:rPr>
          <w:rFonts w:hint="eastAsia"/>
          <w:b w:val="0"/>
          <w:bCs/>
          <w:highlight w:val="none"/>
        </w:rPr>
        <w:t>1.中标供货服务商应纳入江苏省“阳光食堂”信息化监管服务平台管理，同时按政府要求纳入</w:t>
      </w:r>
      <w:r>
        <w:rPr>
          <w:rFonts w:hint="eastAsia"/>
          <w:b w:val="0"/>
          <w:bCs/>
          <w:highlight w:val="none"/>
          <w:lang w:eastAsia="zh-CN"/>
        </w:rPr>
        <w:t>常州市金坛区学校阳光食堂综合智能服务平台</w:t>
      </w:r>
      <w:r>
        <w:rPr>
          <w:rFonts w:hint="eastAsia"/>
          <w:b w:val="0"/>
          <w:bCs/>
          <w:highlight w:val="none"/>
        </w:rPr>
        <w:t>。</w:t>
      </w:r>
    </w:p>
    <w:p>
      <w:pPr>
        <w:spacing w:line="360" w:lineRule="auto"/>
        <w:ind w:firstLine="420" w:firstLineChars="200"/>
        <w:rPr>
          <w:rFonts w:hint="eastAsia"/>
          <w:b w:val="0"/>
          <w:bCs/>
          <w:highlight w:val="none"/>
        </w:rPr>
      </w:pPr>
      <w:r>
        <w:rPr>
          <w:rFonts w:hint="eastAsia"/>
          <w:b w:val="0"/>
          <w:bCs/>
          <w:highlight w:val="none"/>
        </w:rPr>
        <w:t>★</w:t>
      </w:r>
      <w:r>
        <w:rPr>
          <w:rFonts w:hint="eastAsia"/>
          <w:b w:val="0"/>
          <w:bCs/>
          <w:highlight w:val="none"/>
          <w:lang w:val="en-US" w:eastAsia="zh-CN"/>
        </w:rPr>
        <w:t>2.本章中要求提供的承诺函必须按条款单独承诺，每个条款一份承诺函（均需加盖供应商公章），不提供或未按要求提供的视作无效响应</w:t>
      </w:r>
      <w:r>
        <w:rPr>
          <w:rFonts w:hint="eastAsia"/>
          <w:b w:val="0"/>
          <w:bCs/>
          <w:highlight w:val="none"/>
        </w:rPr>
        <w:t>。</w:t>
      </w:r>
    </w:p>
    <w:p>
      <w:pPr>
        <w:spacing w:line="360" w:lineRule="auto"/>
        <w:ind w:firstLine="420" w:firstLineChars="200"/>
        <w:rPr>
          <w:rFonts w:hint="eastAsia" w:eastAsia="宋体"/>
          <w:b w:val="0"/>
          <w:bCs/>
          <w:highlight w:val="none"/>
          <w:lang w:val="en-US" w:eastAsia="zh-CN"/>
        </w:rPr>
      </w:pPr>
      <w:r>
        <w:rPr>
          <w:rFonts w:hint="eastAsia"/>
          <w:b w:val="0"/>
          <w:bCs/>
          <w:highlight w:val="none"/>
          <w:lang w:val="en-US" w:eastAsia="zh-CN"/>
        </w:rPr>
        <w:t>3.履约保证金：</w:t>
      </w:r>
      <w:r>
        <w:rPr>
          <w:rFonts w:hint="eastAsia"/>
          <w:b w:val="0"/>
          <w:bCs/>
          <w:highlight w:val="none"/>
        </w:rPr>
        <w:t>成交入围供应商在收到成交通知书后，合同签订前向采购人的资金监管专户缴入履约保证金（银行保函），</w:t>
      </w:r>
      <w:r>
        <w:rPr>
          <w:rFonts w:hint="eastAsia"/>
          <w:b/>
          <w:bCs w:val="0"/>
          <w:highlight w:val="none"/>
        </w:rPr>
        <w:t>人民币：伍万元整/单位（￥50000/单位）</w:t>
      </w:r>
      <w:r>
        <w:rPr>
          <w:rFonts w:hint="eastAsia"/>
          <w:b/>
          <w:bCs w:val="0"/>
          <w:highlight w:val="none"/>
          <w:lang w:eastAsia="zh-CN"/>
        </w:rPr>
        <w:t>。</w:t>
      </w:r>
    </w:p>
    <w:p>
      <w:pPr>
        <w:spacing w:line="360" w:lineRule="auto"/>
        <w:ind w:firstLine="420" w:firstLineChars="200"/>
        <w:rPr>
          <w:rFonts w:hint="eastAsia" w:eastAsia="宋体"/>
          <w:b w:val="0"/>
          <w:bCs/>
          <w:highlight w:val="none"/>
          <w:lang w:val="en-US" w:eastAsia="zh-CN"/>
        </w:rPr>
      </w:pPr>
    </w:p>
    <w:p>
      <w:pPr>
        <w:pStyle w:val="2"/>
        <w:rPr>
          <w:rFonts w:hint="eastAsia"/>
          <w:highlight w:val="none"/>
        </w:rPr>
      </w:pPr>
    </w:p>
    <w:p>
      <w:pPr>
        <w:rPr>
          <w:rFonts w:ascii="宋体" w:hAnsi="宋体"/>
          <w:color w:val="auto"/>
          <w:szCs w:val="21"/>
          <w:highlight w:val="none"/>
        </w:rPr>
      </w:pPr>
      <w:r>
        <w:rPr>
          <w:rFonts w:hint="eastAsia" w:ascii="宋体" w:hAnsi="宋体" w:cs="宋体"/>
          <w:sz w:val="24"/>
          <w:highlight w:val="none"/>
        </w:rPr>
        <w:br w:type="page"/>
      </w:r>
      <w:r>
        <w:rPr>
          <w:rFonts w:hint="eastAsia" w:ascii="宋体" w:hAnsi="宋体"/>
          <w:color w:val="auto"/>
          <w:szCs w:val="21"/>
          <w:highlight w:val="none"/>
        </w:rPr>
        <w:t>附</w:t>
      </w:r>
      <w:r>
        <w:rPr>
          <w:rFonts w:hint="eastAsia" w:ascii="宋体" w:hAnsi="宋体"/>
          <w:color w:val="auto"/>
          <w:szCs w:val="21"/>
          <w:highlight w:val="none"/>
          <w:lang w:val="en-US" w:eastAsia="zh-CN"/>
        </w:rPr>
        <w:t>表</w:t>
      </w:r>
      <w:r>
        <w:rPr>
          <w:rFonts w:hint="eastAsia" w:ascii="宋体" w:hAnsi="宋体"/>
          <w:color w:val="auto"/>
          <w:szCs w:val="21"/>
          <w:highlight w:val="none"/>
        </w:rPr>
        <w:t>：食用油和调味品供应考核表（每档期）</w:t>
      </w:r>
    </w:p>
    <w:tbl>
      <w:tblPr>
        <w:tblStyle w:val="14"/>
        <w:tblW w:w="5655" w:type="pct"/>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715"/>
        <w:gridCol w:w="980"/>
        <w:gridCol w:w="3602"/>
        <w:gridCol w:w="4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380" w:type="pct"/>
            <w:shd w:val="clear" w:color="auto" w:fill="FFFFFF"/>
            <w:noWrap w:val="0"/>
            <w:tcMar>
              <w:top w:w="75" w:type="dxa"/>
              <w:left w:w="0" w:type="dxa"/>
              <w:bottom w:w="75" w:type="dxa"/>
              <w:right w:w="0" w:type="dxa"/>
            </w:tcMar>
            <w:vAlign w:val="center"/>
          </w:tcPr>
          <w:p>
            <w:pPr>
              <w:widowControl/>
              <w:spacing w:line="420" w:lineRule="atLeas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521" w:type="pct"/>
            <w:shd w:val="clear" w:color="auto" w:fill="FFFFFF"/>
            <w:noWrap w:val="0"/>
            <w:tcMar>
              <w:top w:w="75" w:type="dxa"/>
              <w:left w:w="0" w:type="dxa"/>
              <w:bottom w:w="75" w:type="dxa"/>
              <w:right w:w="0" w:type="dxa"/>
            </w:tcMar>
            <w:vAlign w:val="center"/>
          </w:tcPr>
          <w:p>
            <w:pPr>
              <w:widowControl/>
              <w:spacing w:line="420" w:lineRule="atLeas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考核指标</w:t>
            </w:r>
          </w:p>
        </w:tc>
        <w:tc>
          <w:tcPr>
            <w:tcW w:w="1914" w:type="pct"/>
            <w:shd w:val="clear" w:color="auto" w:fill="FFFFFF"/>
            <w:noWrap w:val="0"/>
            <w:tcMar>
              <w:top w:w="75" w:type="dxa"/>
              <w:left w:w="0" w:type="dxa"/>
              <w:bottom w:w="75" w:type="dxa"/>
              <w:right w:w="0" w:type="dxa"/>
            </w:tcMar>
            <w:vAlign w:val="center"/>
          </w:tcPr>
          <w:p>
            <w:pPr>
              <w:widowControl/>
              <w:spacing w:line="420" w:lineRule="atLeas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考核内容</w:t>
            </w:r>
          </w:p>
        </w:tc>
        <w:tc>
          <w:tcPr>
            <w:tcW w:w="2183" w:type="pct"/>
            <w:shd w:val="clear" w:color="auto" w:fill="FFFFFF"/>
            <w:noWrap w:val="0"/>
            <w:tcMar>
              <w:top w:w="75" w:type="dxa"/>
              <w:left w:w="0" w:type="dxa"/>
              <w:bottom w:w="75" w:type="dxa"/>
              <w:right w:w="0" w:type="dxa"/>
            </w:tcMar>
            <w:vAlign w:val="center"/>
          </w:tcPr>
          <w:p>
            <w:pPr>
              <w:widowControl/>
              <w:spacing w:line="420" w:lineRule="atLeas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扣分标准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0" w:type="pct"/>
            <w:shd w:val="clear" w:color="auto" w:fill="FFFFFF"/>
            <w:noWrap w:val="0"/>
            <w:tcMar>
              <w:top w:w="75" w:type="dxa"/>
              <w:left w:w="0" w:type="dxa"/>
              <w:bottom w:w="75" w:type="dxa"/>
              <w:right w:w="0" w:type="dxa"/>
            </w:tcMar>
            <w:vAlign w:val="center"/>
          </w:tcPr>
          <w:p>
            <w:pPr>
              <w:widowControl/>
              <w:spacing w:line="420" w:lineRule="atLeast"/>
              <w:jc w:val="center"/>
              <w:rPr>
                <w:rFonts w:ascii="宋体" w:hAnsi="宋体" w:eastAsia="宋体" w:cs="宋体"/>
                <w:color w:val="auto"/>
                <w:kern w:val="0"/>
                <w:szCs w:val="21"/>
                <w:highlight w:val="none"/>
              </w:rPr>
            </w:pPr>
            <w:r>
              <w:rPr>
                <w:rFonts w:ascii="宋体" w:hAnsi="宋体" w:eastAsia="宋体" w:cs="宋体"/>
                <w:color w:val="auto"/>
                <w:kern w:val="0"/>
                <w:szCs w:val="21"/>
                <w:highlight w:val="none"/>
              </w:rPr>
              <w:t>1</w:t>
            </w:r>
          </w:p>
        </w:tc>
        <w:tc>
          <w:tcPr>
            <w:tcW w:w="521"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保证质量</w:t>
            </w:r>
          </w:p>
        </w:tc>
        <w:tc>
          <w:tcPr>
            <w:tcW w:w="1914"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配送</w:t>
            </w:r>
            <w:r>
              <w:rPr>
                <w:rFonts w:hint="eastAsia" w:ascii="宋体" w:hAnsi="宋体" w:eastAsia="宋体" w:cs="宋体"/>
                <w:color w:val="auto"/>
                <w:kern w:val="0"/>
                <w:szCs w:val="21"/>
                <w:highlight w:val="none"/>
                <w:lang w:val="en-US" w:eastAsia="zh-CN"/>
              </w:rPr>
              <w:t>食用油和调味品</w:t>
            </w:r>
            <w:r>
              <w:rPr>
                <w:rFonts w:hint="eastAsia" w:ascii="宋体" w:hAnsi="宋体" w:eastAsia="宋体" w:cs="宋体"/>
                <w:color w:val="auto"/>
                <w:kern w:val="0"/>
                <w:szCs w:val="21"/>
                <w:highlight w:val="none"/>
              </w:rPr>
              <w:t>符合</w:t>
            </w:r>
            <w:r>
              <w:rPr>
                <w:rFonts w:hint="eastAsia" w:ascii="宋体" w:hAnsi="宋体" w:eastAsia="宋体" w:cs="宋体"/>
                <w:color w:val="auto"/>
                <w:kern w:val="0"/>
                <w:szCs w:val="21"/>
                <w:highlight w:val="none"/>
                <w:lang w:val="en-US" w:eastAsia="zh-CN"/>
              </w:rPr>
              <w:t>食用油和调味品</w:t>
            </w:r>
            <w:r>
              <w:rPr>
                <w:rFonts w:hint="eastAsia" w:ascii="宋体" w:hAnsi="宋体" w:eastAsia="宋体" w:cs="宋体"/>
                <w:color w:val="auto"/>
                <w:kern w:val="0"/>
                <w:szCs w:val="21"/>
                <w:highlight w:val="none"/>
              </w:rPr>
              <w:t>验收标准</w:t>
            </w:r>
            <w:r>
              <w:rPr>
                <w:rFonts w:ascii="宋体" w:hAnsi="宋体" w:eastAsia="宋体" w:cs="宋体"/>
                <w:color w:val="auto"/>
                <w:kern w:val="0"/>
                <w:szCs w:val="21"/>
                <w:highlight w:val="none"/>
              </w:rPr>
              <w:t>。</w:t>
            </w:r>
          </w:p>
        </w:tc>
        <w:tc>
          <w:tcPr>
            <w:tcW w:w="2183"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发现</w:t>
            </w:r>
            <w:r>
              <w:rPr>
                <w:rFonts w:hint="eastAsia" w:ascii="宋体" w:hAnsi="宋体" w:eastAsia="宋体" w:cs="宋体"/>
                <w:color w:val="auto"/>
                <w:kern w:val="0"/>
                <w:szCs w:val="21"/>
                <w:highlight w:val="none"/>
              </w:rPr>
              <w:t>不符合验收标准的，</w:t>
            </w:r>
            <w:r>
              <w:rPr>
                <w:rFonts w:ascii="宋体" w:hAnsi="宋体" w:eastAsia="宋体" w:cs="宋体"/>
                <w:color w:val="auto"/>
                <w:kern w:val="0"/>
                <w:szCs w:val="21"/>
                <w:highlight w:val="none"/>
              </w:rPr>
              <w:t>每次</w:t>
            </w:r>
            <w:r>
              <w:rPr>
                <w:rFonts w:hint="eastAsia" w:ascii="宋体" w:hAnsi="宋体" w:eastAsia="宋体" w:cs="宋体"/>
                <w:color w:val="auto"/>
                <w:kern w:val="0"/>
                <w:szCs w:val="21"/>
                <w:highlight w:val="none"/>
                <w:lang w:eastAsia="zh-CN"/>
              </w:rPr>
              <w:t>至少</w:t>
            </w:r>
            <w:r>
              <w:rPr>
                <w:rFonts w:ascii="宋体" w:hAnsi="宋体" w:eastAsia="宋体" w:cs="宋体"/>
                <w:color w:val="auto"/>
                <w:kern w:val="0"/>
                <w:szCs w:val="21"/>
                <w:highlight w:val="none"/>
              </w:rPr>
              <w:t>扣4分。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0" w:type="pct"/>
            <w:shd w:val="clear" w:color="auto" w:fill="FFFFFF"/>
            <w:noWrap w:val="0"/>
            <w:tcMar>
              <w:top w:w="75" w:type="dxa"/>
              <w:left w:w="0" w:type="dxa"/>
              <w:bottom w:w="75" w:type="dxa"/>
              <w:right w:w="0" w:type="dxa"/>
            </w:tcMar>
            <w:vAlign w:val="center"/>
          </w:tcPr>
          <w:p>
            <w:pPr>
              <w:widowControl/>
              <w:spacing w:line="420" w:lineRule="atLeast"/>
              <w:jc w:val="center"/>
              <w:rPr>
                <w:rFonts w:ascii="宋体" w:hAnsi="宋体" w:eastAsia="宋体" w:cs="宋体"/>
                <w:color w:val="auto"/>
                <w:kern w:val="0"/>
                <w:szCs w:val="21"/>
                <w:highlight w:val="none"/>
              </w:rPr>
            </w:pPr>
            <w:r>
              <w:rPr>
                <w:rFonts w:ascii="宋体" w:hAnsi="宋体" w:eastAsia="宋体" w:cs="宋体"/>
                <w:color w:val="auto"/>
                <w:kern w:val="0"/>
                <w:szCs w:val="21"/>
                <w:highlight w:val="none"/>
              </w:rPr>
              <w:t>2</w:t>
            </w:r>
          </w:p>
        </w:tc>
        <w:tc>
          <w:tcPr>
            <w:tcW w:w="521"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送货齐全</w:t>
            </w:r>
          </w:p>
        </w:tc>
        <w:tc>
          <w:tcPr>
            <w:tcW w:w="1914"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送货无</w:t>
            </w:r>
            <w:r>
              <w:rPr>
                <w:rFonts w:hint="eastAsia" w:ascii="宋体" w:hAnsi="宋体" w:eastAsia="宋体" w:cs="宋体"/>
                <w:color w:val="auto"/>
                <w:kern w:val="0"/>
                <w:szCs w:val="21"/>
                <w:highlight w:val="none"/>
              </w:rPr>
              <w:t>漏发漏送迟到</w:t>
            </w:r>
            <w:r>
              <w:rPr>
                <w:rFonts w:ascii="宋体" w:hAnsi="宋体" w:eastAsia="宋体" w:cs="宋体"/>
                <w:color w:val="auto"/>
                <w:kern w:val="0"/>
                <w:szCs w:val="21"/>
                <w:highlight w:val="none"/>
              </w:rPr>
              <w:t>现象。</w:t>
            </w:r>
          </w:p>
        </w:tc>
        <w:tc>
          <w:tcPr>
            <w:tcW w:w="2183"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有漏发漏送迟到的，</w:t>
            </w:r>
            <w:r>
              <w:rPr>
                <w:rFonts w:ascii="宋体" w:hAnsi="宋体" w:eastAsia="宋体" w:cs="宋体"/>
                <w:color w:val="auto"/>
                <w:kern w:val="0"/>
                <w:szCs w:val="21"/>
                <w:highlight w:val="none"/>
              </w:rPr>
              <w:t>一次</w:t>
            </w:r>
            <w:r>
              <w:rPr>
                <w:rFonts w:hint="eastAsia" w:ascii="宋体" w:hAnsi="宋体" w:eastAsia="宋体" w:cs="宋体"/>
                <w:color w:val="auto"/>
                <w:kern w:val="0"/>
                <w:szCs w:val="21"/>
                <w:highlight w:val="none"/>
                <w:lang w:eastAsia="zh-CN"/>
              </w:rPr>
              <w:t>至少</w:t>
            </w:r>
            <w:r>
              <w:rPr>
                <w:rFonts w:ascii="宋体" w:hAnsi="宋体" w:eastAsia="宋体" w:cs="宋体"/>
                <w:color w:val="auto"/>
                <w:kern w:val="0"/>
                <w:szCs w:val="21"/>
                <w:highlight w:val="none"/>
              </w:rPr>
              <w:t>扣3分，以此类推。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0" w:type="pct"/>
            <w:shd w:val="clear" w:color="auto" w:fill="FFFFFF"/>
            <w:noWrap w:val="0"/>
            <w:tcMar>
              <w:top w:w="75" w:type="dxa"/>
              <w:left w:w="0" w:type="dxa"/>
              <w:bottom w:w="75" w:type="dxa"/>
              <w:right w:w="0" w:type="dxa"/>
            </w:tcMar>
            <w:vAlign w:val="center"/>
          </w:tcPr>
          <w:p>
            <w:pPr>
              <w:widowControl/>
              <w:spacing w:line="420" w:lineRule="atLeast"/>
              <w:jc w:val="center"/>
              <w:rPr>
                <w:rFonts w:ascii="宋体" w:hAnsi="宋体" w:eastAsia="宋体" w:cs="宋体"/>
                <w:color w:val="auto"/>
                <w:kern w:val="0"/>
                <w:szCs w:val="21"/>
                <w:highlight w:val="none"/>
              </w:rPr>
            </w:pPr>
            <w:r>
              <w:rPr>
                <w:rFonts w:ascii="宋体" w:hAnsi="宋体" w:eastAsia="宋体" w:cs="宋体"/>
                <w:color w:val="auto"/>
                <w:kern w:val="0"/>
                <w:szCs w:val="21"/>
                <w:highlight w:val="none"/>
              </w:rPr>
              <w:t>3</w:t>
            </w:r>
          </w:p>
        </w:tc>
        <w:tc>
          <w:tcPr>
            <w:tcW w:w="521"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品牌规范</w:t>
            </w:r>
          </w:p>
        </w:tc>
        <w:tc>
          <w:tcPr>
            <w:tcW w:w="1914"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按采购协议要求的品牌采购，无擅</w:t>
            </w:r>
            <w:r>
              <w:rPr>
                <w:rFonts w:hint="eastAsia" w:ascii="宋体" w:hAnsi="宋体" w:eastAsia="宋体" w:cs="宋体"/>
                <w:color w:val="auto"/>
                <w:kern w:val="0"/>
                <w:szCs w:val="21"/>
                <w:highlight w:val="none"/>
                <w:lang w:val="en-US" w:eastAsia="zh-CN"/>
              </w:rPr>
              <w:t>自</w:t>
            </w:r>
            <w:r>
              <w:rPr>
                <w:rFonts w:ascii="宋体" w:hAnsi="宋体" w:eastAsia="宋体" w:cs="宋体"/>
                <w:color w:val="auto"/>
                <w:kern w:val="0"/>
                <w:szCs w:val="21"/>
                <w:highlight w:val="none"/>
              </w:rPr>
              <w:t>换商品或品牌现象。</w:t>
            </w:r>
          </w:p>
        </w:tc>
        <w:tc>
          <w:tcPr>
            <w:tcW w:w="2183"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有擅自更换品牌、</w:t>
            </w:r>
            <w:r>
              <w:rPr>
                <w:rFonts w:ascii="宋体" w:hAnsi="宋体" w:eastAsia="宋体" w:cs="宋体"/>
                <w:color w:val="auto"/>
                <w:kern w:val="0"/>
                <w:szCs w:val="21"/>
                <w:highlight w:val="none"/>
              </w:rPr>
              <w:t xml:space="preserve"> 品级、规格等事项</w:t>
            </w:r>
            <w:r>
              <w:rPr>
                <w:rFonts w:hint="eastAsia" w:ascii="宋体" w:hAnsi="宋体" w:eastAsia="宋体" w:cs="宋体"/>
                <w:color w:val="auto"/>
                <w:kern w:val="0"/>
                <w:szCs w:val="21"/>
                <w:highlight w:val="none"/>
              </w:rPr>
              <w:t>，每次扣</w:t>
            </w:r>
            <w:r>
              <w:rPr>
                <w:rFonts w:hint="eastAsia" w:ascii="宋体" w:hAnsi="宋体" w:eastAsia="宋体" w:cs="宋体"/>
                <w:color w:val="auto"/>
                <w:kern w:val="0"/>
                <w:szCs w:val="21"/>
                <w:highlight w:val="none"/>
                <w:lang w:val="en-US" w:eastAsia="zh-CN"/>
              </w:rPr>
              <w:t>40</w:t>
            </w:r>
            <w:r>
              <w:rPr>
                <w:rFonts w:hint="eastAsia" w:ascii="宋体" w:hAnsi="宋体" w:eastAsia="宋体" w:cs="宋体"/>
                <w:color w:val="auto"/>
                <w:kern w:val="0"/>
                <w:szCs w:val="21"/>
                <w:highlight w:val="none"/>
              </w:rPr>
              <w:t>分</w:t>
            </w:r>
            <w:r>
              <w:rPr>
                <w:rFonts w:ascii="宋体" w:hAnsi="宋体" w:eastAsia="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0"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eastAsia="宋体" w:cs="宋体"/>
                <w:kern w:val="0"/>
                <w:sz w:val="21"/>
                <w:szCs w:val="21"/>
                <w:highlight w:val="none"/>
                <w:lang w:val="en-US" w:eastAsia="zh-CN" w:bidi="ar-SA"/>
              </w:rPr>
            </w:pPr>
            <w:r>
              <w:rPr>
                <w:rFonts w:hint="eastAsia" w:ascii="宋体" w:hAnsi="宋体" w:cs="宋体"/>
                <w:kern w:val="0"/>
                <w:szCs w:val="21"/>
                <w:highlight w:val="none"/>
              </w:rPr>
              <w:t>4</w:t>
            </w:r>
          </w:p>
        </w:tc>
        <w:tc>
          <w:tcPr>
            <w:tcW w:w="521"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kern w:val="0"/>
                <w:sz w:val="21"/>
                <w:szCs w:val="21"/>
                <w:highlight w:val="none"/>
                <w:lang w:val="en-US" w:eastAsia="zh-CN" w:bidi="ar-SA"/>
              </w:rPr>
            </w:pPr>
            <w:r>
              <w:rPr>
                <w:rFonts w:hint="eastAsia" w:ascii="宋体" w:hAnsi="宋体" w:cs="宋体"/>
                <w:kern w:val="0"/>
                <w:szCs w:val="21"/>
                <w:highlight w:val="none"/>
              </w:rPr>
              <w:t>配送车辆</w:t>
            </w:r>
          </w:p>
        </w:tc>
        <w:tc>
          <w:tcPr>
            <w:tcW w:w="1914"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每天要对车辆进行消毒，并做好相应记录（主要包含消毒人员、是否消毒、消毒时间等）。</w:t>
            </w:r>
          </w:p>
        </w:tc>
        <w:tc>
          <w:tcPr>
            <w:tcW w:w="2183" w:type="pct"/>
            <w:shd w:val="clear" w:color="auto" w:fill="FFFFFF"/>
            <w:noWrap w:val="0"/>
            <w:tcMar>
              <w:top w:w="75" w:type="dxa"/>
              <w:left w:w="0" w:type="dxa"/>
              <w:bottom w:w="75" w:type="dxa"/>
              <w:right w:w="0" w:type="dxa"/>
            </w:tcMar>
            <w:vAlign w:val="center"/>
          </w:tcPr>
          <w:p>
            <w:pPr>
              <w:widowControl/>
              <w:spacing w:line="420" w:lineRule="atLeast"/>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未作相应记录的每发现</w:t>
            </w:r>
            <w:r>
              <w:rPr>
                <w:rFonts w:hint="eastAsia" w:ascii="宋体" w:hAnsi="宋体" w:cs="宋体"/>
                <w:kern w:val="0"/>
                <w:szCs w:val="21"/>
                <w:highlight w:val="none"/>
              </w:rPr>
              <w:t>一次扣</w:t>
            </w:r>
            <w:r>
              <w:rPr>
                <w:rFonts w:ascii="宋体" w:hAnsi="宋体" w:cs="宋体"/>
                <w:kern w:val="0"/>
                <w:szCs w:val="21"/>
                <w:highlight w:val="none"/>
              </w:rPr>
              <w:t>1</w:t>
            </w:r>
            <w:r>
              <w:rPr>
                <w:rFonts w:hint="eastAsia" w:ascii="宋体" w:hAnsi="宋体" w:cs="宋体"/>
                <w:kern w:val="0"/>
                <w:szCs w:val="21"/>
                <w:highlight w:val="none"/>
              </w:rPr>
              <w:t>分</w:t>
            </w:r>
            <w:r>
              <w:rPr>
                <w:rFonts w:hint="eastAsia" w:ascii="宋体" w:hAnsi="宋体" w:cs="宋体"/>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0"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5</w:t>
            </w:r>
          </w:p>
        </w:tc>
        <w:tc>
          <w:tcPr>
            <w:tcW w:w="521"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索票索证</w:t>
            </w:r>
          </w:p>
        </w:tc>
        <w:tc>
          <w:tcPr>
            <w:tcW w:w="1914"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按相关规定 ,一次不漏的向食堂提供有关商品的检测资料及票证，并符合食品卫生监督部门的要求。</w:t>
            </w:r>
          </w:p>
        </w:tc>
        <w:tc>
          <w:tcPr>
            <w:tcW w:w="2183"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遗漏一次扣</w:t>
            </w:r>
            <w:r>
              <w:rPr>
                <w:rFonts w:hint="eastAsia" w:ascii="宋体" w:hAnsi="宋体" w:eastAsia="宋体" w:cs="宋体"/>
                <w:color w:val="auto"/>
                <w:kern w:val="0"/>
                <w:szCs w:val="21"/>
                <w:highlight w:val="none"/>
                <w:lang w:eastAsia="zh-CN"/>
              </w:rPr>
              <w:t>至少</w:t>
            </w:r>
            <w:r>
              <w:rPr>
                <w:rFonts w:ascii="宋体" w:hAnsi="宋体" w:eastAsia="宋体" w:cs="宋体"/>
                <w:color w:val="auto"/>
                <w:kern w:val="0"/>
                <w:szCs w:val="21"/>
                <w:highlight w:val="none"/>
              </w:rPr>
              <w:t>4分，以此类推。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0" w:type="pct"/>
            <w:shd w:val="clear" w:color="auto" w:fill="FFFFFF"/>
            <w:noWrap w:val="0"/>
            <w:tcMar>
              <w:top w:w="75" w:type="dxa"/>
              <w:left w:w="0" w:type="dxa"/>
              <w:bottom w:w="75" w:type="dxa"/>
              <w:right w:w="0" w:type="dxa"/>
            </w:tcMar>
            <w:vAlign w:val="center"/>
          </w:tcPr>
          <w:p>
            <w:pPr>
              <w:widowControl/>
              <w:spacing w:line="420" w:lineRule="atLeast"/>
              <w:jc w:val="center"/>
              <w:rPr>
                <w:rFonts w:hint="eastAsia" w:ascii="宋体" w:hAnsi="宋体" w:eastAsia="宋体" w:cs="宋体"/>
                <w:kern w:val="0"/>
                <w:sz w:val="21"/>
                <w:szCs w:val="21"/>
                <w:highlight w:val="none"/>
                <w:lang w:val="en-US" w:eastAsia="zh-CN" w:bidi="ar-SA"/>
              </w:rPr>
            </w:pPr>
            <w:r>
              <w:rPr>
                <w:rFonts w:hint="eastAsia" w:ascii="宋体" w:hAnsi="宋体" w:cs="宋体"/>
                <w:kern w:val="0"/>
                <w:szCs w:val="21"/>
                <w:highlight w:val="none"/>
              </w:rPr>
              <w:t>6</w:t>
            </w:r>
          </w:p>
        </w:tc>
        <w:tc>
          <w:tcPr>
            <w:tcW w:w="521"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kern w:val="0"/>
                <w:sz w:val="21"/>
                <w:szCs w:val="21"/>
                <w:highlight w:val="none"/>
                <w:lang w:val="en-US" w:eastAsia="zh-CN" w:bidi="ar-SA"/>
              </w:rPr>
            </w:pPr>
            <w:r>
              <w:rPr>
                <w:rFonts w:ascii="宋体" w:hAnsi="宋体" w:cs="宋体"/>
                <w:kern w:val="0"/>
                <w:szCs w:val="21"/>
                <w:highlight w:val="none"/>
              </w:rPr>
              <w:t>单据清晰</w:t>
            </w:r>
          </w:p>
        </w:tc>
        <w:tc>
          <w:tcPr>
            <w:tcW w:w="1914"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kern w:val="0"/>
                <w:sz w:val="21"/>
                <w:szCs w:val="21"/>
                <w:highlight w:val="none"/>
                <w:lang w:val="en-US" w:eastAsia="zh-CN" w:bidi="ar-SA"/>
              </w:rPr>
            </w:pPr>
            <w:r>
              <w:rPr>
                <w:rFonts w:ascii="宋体" w:hAnsi="宋体" w:cs="宋体"/>
                <w:kern w:val="0"/>
                <w:szCs w:val="21"/>
                <w:highlight w:val="none"/>
              </w:rPr>
              <w:t>送货单(结算凭证)项目齐全</w:t>
            </w:r>
            <w:r>
              <w:rPr>
                <w:rFonts w:hint="eastAsia" w:ascii="宋体" w:hAnsi="宋体" w:cs="宋体"/>
                <w:kern w:val="0"/>
                <w:szCs w:val="21"/>
                <w:highlight w:val="none"/>
              </w:rPr>
              <w:t>，</w:t>
            </w:r>
            <w:r>
              <w:rPr>
                <w:rFonts w:ascii="宋体" w:hAnsi="宋体" w:cs="宋体"/>
                <w:kern w:val="0"/>
                <w:szCs w:val="21"/>
                <w:highlight w:val="none"/>
              </w:rPr>
              <w:t>清晰。</w:t>
            </w:r>
            <w:r>
              <w:rPr>
                <w:rFonts w:hint="eastAsia" w:ascii="宋体" w:hAnsi="宋体" w:cs="宋体"/>
                <w:kern w:val="0"/>
                <w:szCs w:val="21"/>
                <w:highlight w:val="none"/>
              </w:rPr>
              <w:t>供货清单（送货单）与采购清单一致，</w:t>
            </w:r>
            <w:r>
              <w:rPr>
                <w:rFonts w:hint="eastAsia"/>
                <w:bCs/>
                <w:highlight w:val="none"/>
              </w:rPr>
              <w:t>确保供货清单所填写</w:t>
            </w:r>
            <w:r>
              <w:rPr>
                <w:rFonts w:hint="eastAsia"/>
                <w:bCs/>
                <w:highlight w:val="none"/>
                <w:lang w:val="en-US" w:eastAsia="zh-CN"/>
              </w:rPr>
              <w:t>食用油和调味品</w:t>
            </w:r>
            <w:r>
              <w:rPr>
                <w:rFonts w:hint="eastAsia"/>
                <w:bCs/>
                <w:highlight w:val="none"/>
              </w:rPr>
              <w:t>的品种、品牌、规格、数量、质量等准确无误。</w:t>
            </w:r>
          </w:p>
        </w:tc>
        <w:tc>
          <w:tcPr>
            <w:tcW w:w="2183" w:type="pct"/>
            <w:shd w:val="clear" w:color="auto" w:fill="FFFFFF"/>
            <w:noWrap w:val="0"/>
            <w:tcMar>
              <w:top w:w="75" w:type="dxa"/>
              <w:left w:w="0" w:type="dxa"/>
              <w:bottom w:w="75" w:type="dxa"/>
              <w:right w:w="0" w:type="dxa"/>
            </w:tcMar>
            <w:vAlign w:val="center"/>
          </w:tcPr>
          <w:p>
            <w:pPr>
              <w:widowControl/>
              <w:spacing w:line="420" w:lineRule="atLeast"/>
              <w:jc w:val="left"/>
              <w:rPr>
                <w:rFonts w:ascii="宋体" w:hAnsi="宋体" w:eastAsia="宋体" w:cs="宋体"/>
                <w:kern w:val="0"/>
                <w:sz w:val="21"/>
                <w:szCs w:val="21"/>
                <w:highlight w:val="none"/>
                <w:lang w:val="en-US" w:eastAsia="zh-CN" w:bidi="ar-SA"/>
              </w:rPr>
            </w:pPr>
            <w:r>
              <w:rPr>
                <w:rFonts w:hint="eastAsia" w:ascii="宋体" w:hAnsi="宋体" w:cs="宋体"/>
                <w:kern w:val="0"/>
                <w:szCs w:val="21"/>
                <w:highlight w:val="none"/>
              </w:rPr>
              <w:t>填写信息</w:t>
            </w:r>
            <w:r>
              <w:rPr>
                <w:rFonts w:ascii="宋体" w:hAnsi="宋体" w:cs="宋体"/>
                <w:kern w:val="0"/>
                <w:szCs w:val="21"/>
                <w:highlight w:val="none"/>
              </w:rPr>
              <w:t>不清晰、不完整</w:t>
            </w:r>
            <w:r>
              <w:rPr>
                <w:rFonts w:hint="eastAsia" w:ascii="宋体" w:hAnsi="宋体" w:cs="宋体"/>
                <w:kern w:val="0"/>
                <w:szCs w:val="21"/>
                <w:highlight w:val="none"/>
              </w:rPr>
              <w:t>或错误，</w:t>
            </w:r>
            <w:r>
              <w:rPr>
                <w:rFonts w:ascii="宋体" w:hAnsi="宋体" w:cs="宋体"/>
                <w:kern w:val="0"/>
                <w:szCs w:val="21"/>
                <w:highlight w:val="none"/>
              </w:rPr>
              <w:t>一次扣</w:t>
            </w:r>
            <w:r>
              <w:rPr>
                <w:rFonts w:hint="eastAsia" w:ascii="宋体" w:hAnsi="宋体" w:cs="宋体"/>
                <w:kern w:val="0"/>
                <w:szCs w:val="21"/>
                <w:highlight w:val="none"/>
              </w:rPr>
              <w:t>2</w:t>
            </w:r>
            <w:r>
              <w:rPr>
                <w:rFonts w:ascii="宋体" w:hAnsi="宋体" w:cs="宋体"/>
                <w:kern w:val="0"/>
                <w:szCs w:val="21"/>
                <w:highlight w:val="none"/>
              </w:rPr>
              <w:t>分</w:t>
            </w:r>
            <w:r>
              <w:rPr>
                <w:rFonts w:hint="eastAsia" w:ascii="宋体" w:hAnsi="宋体" w:cs="宋体"/>
                <w:kern w:val="0"/>
                <w:szCs w:val="21"/>
                <w:highlight w:val="none"/>
              </w:rPr>
              <w:t>，</w:t>
            </w:r>
            <w:r>
              <w:rPr>
                <w:rFonts w:ascii="宋体" w:hAnsi="宋体" w:cs="宋体"/>
                <w:kern w:val="0"/>
                <w:szCs w:val="21"/>
                <w:highlight w:val="none"/>
              </w:rPr>
              <w:t>以此类推。</w:t>
            </w:r>
          </w:p>
        </w:tc>
      </w:tr>
    </w:tbl>
    <w:p>
      <w:pPr>
        <w:rPr>
          <w:rFonts w:hint="eastAsia"/>
          <w:sz w:val="24"/>
          <w:highlight w:val="none"/>
        </w:rPr>
      </w:pPr>
      <w:r>
        <w:rPr>
          <w:rFonts w:hint="eastAsia" w:ascii="宋体" w:hAnsi="宋体"/>
          <w:color w:val="auto"/>
          <w:szCs w:val="21"/>
          <w:highlight w:val="none"/>
        </w:rPr>
        <w:t>注：</w:t>
      </w:r>
      <w:r>
        <w:rPr>
          <w:rFonts w:hint="eastAsia" w:ascii="宋体" w:hAnsi="宋体"/>
          <w:color w:val="auto"/>
          <w:szCs w:val="21"/>
          <w:highlight w:val="none"/>
          <w:lang w:eastAsia="zh-CN"/>
        </w:rPr>
        <w:t>金坛区教育局</w:t>
      </w:r>
      <w:r>
        <w:rPr>
          <w:rFonts w:hint="eastAsia" w:ascii="宋体" w:hAnsi="宋体"/>
          <w:color w:val="auto"/>
          <w:szCs w:val="21"/>
          <w:highlight w:val="none"/>
        </w:rPr>
        <w:t>将根据项目实施情况对考核表内容进行适当调整。</w:t>
      </w:r>
    </w:p>
    <w:p>
      <w:pPr>
        <w:spacing w:line="360" w:lineRule="auto"/>
        <w:rPr>
          <w:rFonts w:ascii="宋体" w:hAnsi="宋体"/>
          <w:color w:val="auto"/>
          <w:szCs w:val="21"/>
          <w:highlight w:val="none"/>
        </w:rPr>
      </w:pPr>
    </w:p>
    <w:p>
      <w:pPr>
        <w:rPr>
          <w:rFonts w:hint="eastAsia"/>
          <w:sz w:val="24"/>
          <w:highlight w:val="none"/>
        </w:rPr>
      </w:pPr>
    </w:p>
    <w:p>
      <w:pPr>
        <w:pStyle w:val="2"/>
        <w:rPr>
          <w:rFonts w:hint="eastAsia"/>
          <w:highlight w:val="none"/>
        </w:rPr>
      </w:pPr>
    </w:p>
    <w:p>
      <w:pPr>
        <w:rPr>
          <w:rFonts w:hint="eastAsia"/>
          <w:sz w:val="24"/>
          <w:highlight w:val="none"/>
        </w:rPr>
      </w:pPr>
      <w:r>
        <w:rPr>
          <w:rFonts w:hint="eastAsia"/>
          <w:sz w:val="24"/>
          <w:highlight w:val="none"/>
        </w:rPr>
        <w:br w:type="page"/>
      </w:r>
    </w:p>
    <w:p>
      <w:pPr>
        <w:pStyle w:val="13"/>
        <w:ind w:left="0" w:leftChars="0" w:firstLine="0" w:firstLineChars="0"/>
        <w:jc w:val="center"/>
        <w:outlineLvl w:val="0"/>
        <w:rPr>
          <w:rFonts w:hint="eastAsia" w:ascii="黑体" w:hAnsi="黑体" w:eastAsia="黑体" w:cs="黑体"/>
          <w:b/>
          <w:bCs/>
          <w:sz w:val="44"/>
          <w:szCs w:val="44"/>
          <w:highlight w:val="none"/>
          <w:lang w:val="en-US" w:eastAsia="zh-CN"/>
        </w:rPr>
      </w:pPr>
      <w:bookmarkStart w:id="30" w:name="_Toc11452"/>
      <w:r>
        <w:rPr>
          <w:rFonts w:hint="eastAsia" w:ascii="黑体" w:hAnsi="黑体" w:eastAsia="黑体" w:cs="黑体"/>
          <w:b/>
          <w:bCs/>
          <w:sz w:val="44"/>
          <w:szCs w:val="44"/>
          <w:highlight w:val="none"/>
          <w:lang w:val="en-US" w:eastAsia="zh-CN"/>
        </w:rPr>
        <w:t>第四章 资格审查文件格式</w:t>
      </w:r>
      <w:bookmarkEnd w:id="30"/>
    </w:p>
    <w:p>
      <w:pPr>
        <w:pStyle w:val="8"/>
        <w:overflowPunct w:val="0"/>
        <w:snapToGrid w:val="0"/>
        <w:jc w:val="center"/>
        <w:rPr>
          <w:rFonts w:ascii="微软雅黑" w:hAnsi="微软雅黑" w:eastAsia="微软雅黑" w:cs="微软雅黑"/>
          <w:b/>
          <w:bCs/>
          <w:sz w:val="52"/>
          <w:szCs w:val="52"/>
          <w:highlight w:val="none"/>
        </w:rPr>
      </w:pPr>
    </w:p>
    <w:p>
      <w:pPr>
        <w:pStyle w:val="8"/>
        <w:overflowPunct w:val="0"/>
        <w:snapToGrid w:val="0"/>
        <w:jc w:val="center"/>
        <w:rPr>
          <w:rFonts w:ascii="微软雅黑" w:hAnsi="微软雅黑" w:eastAsia="微软雅黑" w:cs="微软雅黑"/>
          <w:b/>
          <w:bCs/>
          <w:sz w:val="52"/>
          <w:szCs w:val="52"/>
          <w:highlight w:val="none"/>
        </w:rPr>
      </w:pP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资</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格</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审</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查</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材</w:t>
      </w:r>
    </w:p>
    <w:p>
      <w:pPr>
        <w:pStyle w:val="8"/>
        <w:overflowPunct w:val="0"/>
        <w:snapToGrid w:val="0"/>
        <w:jc w:val="center"/>
        <w:rPr>
          <w:rFonts w:ascii="微软雅黑" w:hAnsi="微软雅黑" w:eastAsia="微软雅黑" w:cs="微软雅黑"/>
          <w:b/>
          <w:bCs/>
          <w:sz w:val="52"/>
          <w:szCs w:val="52"/>
          <w:highlight w:val="none"/>
        </w:rPr>
      </w:pPr>
      <w:r>
        <w:rPr>
          <w:rFonts w:ascii="微软雅黑" w:hAnsi="微软雅黑" w:eastAsia="微软雅黑" w:cs="微软雅黑"/>
          <w:b/>
          <w:bCs/>
          <w:sz w:val="52"/>
          <w:szCs w:val="52"/>
          <w:highlight w:val="none"/>
        </w:rPr>
        <w:t>料</w:t>
      </w:r>
    </w:p>
    <w:p>
      <w:pPr>
        <w:pStyle w:val="8"/>
        <w:overflowPunct w:val="0"/>
        <w:snapToGrid w:val="0"/>
        <w:spacing w:line="360" w:lineRule="auto"/>
        <w:rPr>
          <w:highlight w:val="none"/>
        </w:rPr>
      </w:pPr>
    </w:p>
    <w:p>
      <w:pPr>
        <w:pStyle w:val="8"/>
        <w:overflowPunct w:val="0"/>
        <w:snapToGrid w:val="0"/>
        <w:spacing w:line="360" w:lineRule="auto"/>
        <w:rPr>
          <w:highlight w:val="none"/>
        </w:rPr>
      </w:pPr>
    </w:p>
    <w:p>
      <w:pPr>
        <w:pStyle w:val="8"/>
        <w:overflowPunct w:val="0"/>
        <w:snapToGrid w:val="0"/>
        <w:spacing w:line="360" w:lineRule="auto"/>
        <w:rPr>
          <w:highlight w:val="none"/>
        </w:rPr>
      </w:pPr>
    </w:p>
    <w:p>
      <w:pPr>
        <w:overflowPunct w:val="0"/>
        <w:snapToGrid w:val="0"/>
        <w:spacing w:line="360" w:lineRule="auto"/>
        <w:ind w:firstLine="1680" w:firstLineChars="600"/>
        <w:rPr>
          <w:rFonts w:hint="eastAsia" w:ascii="宋体" w:hAnsi="宋体" w:cs="宋体"/>
          <w:bCs/>
          <w:sz w:val="28"/>
          <w:szCs w:val="28"/>
          <w:highlight w:val="none"/>
        </w:rPr>
      </w:pPr>
      <w:r>
        <w:rPr>
          <w:rFonts w:hint="eastAsia" w:ascii="宋体" w:hAnsi="宋体" w:cs="宋体"/>
          <w:bCs/>
          <w:sz w:val="28"/>
          <w:szCs w:val="28"/>
          <w:highlight w:val="none"/>
        </w:rPr>
        <w:t>项目编号：</w:t>
      </w:r>
    </w:p>
    <w:p>
      <w:pPr>
        <w:overflowPunct w:val="0"/>
        <w:snapToGrid w:val="0"/>
        <w:spacing w:line="360" w:lineRule="auto"/>
        <w:ind w:left="3076" w:leftChars="798" w:hanging="1400" w:hangingChars="500"/>
        <w:rPr>
          <w:rFonts w:hint="eastAsia" w:ascii="宋体" w:hAnsi="宋体" w:cs="宋体"/>
          <w:bCs/>
          <w:sz w:val="28"/>
          <w:szCs w:val="28"/>
          <w:highlight w:val="none"/>
        </w:rPr>
      </w:pPr>
      <w:r>
        <w:rPr>
          <w:rFonts w:hint="eastAsia" w:ascii="宋体" w:hAnsi="宋体" w:cs="宋体"/>
          <w:bCs/>
          <w:sz w:val="28"/>
          <w:szCs w:val="28"/>
          <w:highlight w:val="none"/>
        </w:rPr>
        <w:t>项目名称：</w:t>
      </w:r>
      <w:r>
        <w:rPr>
          <w:rFonts w:hint="eastAsia" w:ascii="宋体" w:hAnsi="宋体" w:cs="宋体"/>
          <w:bCs/>
          <w:sz w:val="28"/>
          <w:szCs w:val="28"/>
          <w:highlight w:val="none"/>
          <w:lang w:eastAsia="zh-CN"/>
        </w:rPr>
        <w:t>常州市金坛区公办中小学幼儿园食堂食用油和调味品配送服务</w:t>
      </w:r>
      <w:r>
        <w:rPr>
          <w:rFonts w:hint="eastAsia" w:ascii="宋体" w:hAnsi="宋体" w:cs="宋体"/>
          <w:bCs/>
          <w:sz w:val="28"/>
          <w:szCs w:val="28"/>
          <w:highlight w:val="none"/>
        </w:rPr>
        <w:t xml:space="preserve"> </w:t>
      </w:r>
    </w:p>
    <w:p>
      <w:pPr>
        <w:overflowPunct w:val="0"/>
        <w:snapToGrid w:val="0"/>
        <w:spacing w:line="360" w:lineRule="auto"/>
        <w:ind w:firstLine="1680" w:firstLineChars="600"/>
        <w:rPr>
          <w:rFonts w:hint="eastAsia" w:ascii="宋体" w:hAnsi="宋体" w:cs="宋体"/>
          <w:bCs/>
          <w:sz w:val="28"/>
          <w:szCs w:val="28"/>
          <w:highlight w:val="none"/>
          <w:u w:val="single"/>
        </w:rPr>
      </w:pPr>
      <w:r>
        <w:rPr>
          <w:rFonts w:hint="eastAsia" w:ascii="宋体" w:hAnsi="宋体" w:cs="宋体"/>
          <w:bCs/>
          <w:sz w:val="28"/>
          <w:szCs w:val="28"/>
          <w:highlight w:val="none"/>
        </w:rPr>
        <w:t>供应商名称：</w:t>
      </w:r>
      <w:r>
        <w:rPr>
          <w:rFonts w:hint="eastAsia" w:ascii="宋体" w:hAnsi="宋体" w:cs="宋体"/>
          <w:bCs/>
          <w:sz w:val="28"/>
          <w:szCs w:val="28"/>
          <w:highlight w:val="none"/>
          <w:u w:val="single"/>
        </w:rPr>
        <w:t xml:space="preserve">                       </w:t>
      </w:r>
    </w:p>
    <w:p>
      <w:pPr>
        <w:overflowPunct w:val="0"/>
        <w:snapToGrid w:val="0"/>
        <w:spacing w:line="360" w:lineRule="auto"/>
        <w:ind w:firstLine="1680" w:firstLineChars="600"/>
        <w:rPr>
          <w:rFonts w:ascii="宋体" w:hAnsi="宋体" w:cs="宋体"/>
          <w:bCs/>
          <w:sz w:val="28"/>
          <w:szCs w:val="28"/>
          <w:highlight w:val="none"/>
          <w:u w:val="single"/>
        </w:rPr>
      </w:pPr>
      <w:r>
        <w:rPr>
          <w:rFonts w:hint="eastAsia"/>
          <w:sz w:val="28"/>
          <w:szCs w:val="28"/>
          <w:highlight w:val="none"/>
        </w:rPr>
        <w:t>供应商地址</w:t>
      </w:r>
      <w:r>
        <w:rPr>
          <w:rFonts w:hint="eastAsia" w:ascii="宋体" w:hAnsi="宋体" w:cs="宋体"/>
          <w:bCs/>
          <w:sz w:val="28"/>
          <w:szCs w:val="28"/>
          <w:highlight w:val="none"/>
        </w:rPr>
        <w:t>：</w:t>
      </w:r>
      <w:r>
        <w:rPr>
          <w:rFonts w:hint="eastAsia" w:ascii="宋体" w:hAnsi="宋体" w:cs="宋体"/>
          <w:bCs/>
          <w:sz w:val="28"/>
          <w:szCs w:val="28"/>
          <w:highlight w:val="none"/>
          <w:u w:val="single"/>
        </w:rPr>
        <w:t xml:space="preserve">                       </w:t>
      </w:r>
    </w:p>
    <w:p>
      <w:pPr>
        <w:overflowPunct w:val="0"/>
        <w:snapToGrid w:val="0"/>
        <w:spacing w:line="360" w:lineRule="auto"/>
        <w:ind w:firstLine="1680" w:firstLineChars="600"/>
        <w:rPr>
          <w:rFonts w:hint="eastAsia" w:ascii="宋体" w:hAnsi="宋体" w:cs="宋体"/>
          <w:bCs/>
          <w:sz w:val="28"/>
          <w:szCs w:val="28"/>
          <w:highlight w:val="none"/>
        </w:rPr>
      </w:pPr>
    </w:p>
    <w:p>
      <w:pPr>
        <w:rPr>
          <w:highlight w:val="none"/>
        </w:rPr>
      </w:pPr>
    </w:p>
    <w:p>
      <w:pPr>
        <w:pStyle w:val="8"/>
        <w:tabs>
          <w:tab w:val="left" w:pos="6804"/>
        </w:tabs>
        <w:overflowPunct w:val="0"/>
        <w:snapToGrid w:val="0"/>
        <w:spacing w:line="360" w:lineRule="auto"/>
        <w:jc w:val="center"/>
        <w:rPr>
          <w:rFonts w:hint="default"/>
          <w:highlight w:val="none"/>
        </w:rPr>
      </w:pPr>
      <w:r>
        <w:rPr>
          <w:rFonts w:hAnsi="宋体" w:cs="宋体"/>
          <w:bCs/>
          <w:sz w:val="28"/>
          <w:szCs w:val="28"/>
          <w:highlight w:val="none"/>
        </w:rPr>
        <w:t>202</w:t>
      </w:r>
      <w:r>
        <w:rPr>
          <w:rFonts w:hint="eastAsia" w:hAnsi="宋体" w:cs="宋体"/>
          <w:bCs/>
          <w:sz w:val="28"/>
          <w:szCs w:val="28"/>
          <w:highlight w:val="none"/>
          <w:lang w:val="en-US" w:eastAsia="zh-CN"/>
        </w:rPr>
        <w:t>4</w:t>
      </w:r>
      <w:r>
        <w:rPr>
          <w:rFonts w:hAnsi="宋体" w:cs="宋体"/>
          <w:bCs/>
          <w:sz w:val="28"/>
          <w:szCs w:val="28"/>
          <w:highlight w:val="none"/>
        </w:rPr>
        <w:t>年</w:t>
      </w:r>
      <w:r>
        <w:rPr>
          <w:rFonts w:hint="eastAsia" w:hAnsi="宋体" w:cs="宋体"/>
          <w:bCs/>
          <w:sz w:val="28"/>
          <w:szCs w:val="28"/>
          <w:highlight w:val="none"/>
          <w:lang w:val="en-US" w:eastAsia="zh-CN"/>
        </w:rPr>
        <w:t xml:space="preserve">  </w:t>
      </w:r>
      <w:r>
        <w:rPr>
          <w:rFonts w:hAnsi="宋体" w:cs="宋体"/>
          <w:bCs/>
          <w:sz w:val="28"/>
          <w:szCs w:val="28"/>
          <w:highlight w:val="none"/>
        </w:rPr>
        <w:t>月</w:t>
      </w:r>
    </w:p>
    <w:p>
      <w:pPr>
        <w:spacing w:line="360" w:lineRule="auto"/>
        <w:outlineLvl w:val="9"/>
        <w:rPr>
          <w:sz w:val="24"/>
          <w:highlight w:val="none"/>
        </w:rPr>
      </w:pPr>
    </w:p>
    <w:p>
      <w:pPr>
        <w:rPr>
          <w:color w:val="000000"/>
          <w:highlight w:val="none"/>
          <w:u w:val="none"/>
        </w:rPr>
      </w:pPr>
      <w:r>
        <w:rPr>
          <w:color w:val="000000"/>
          <w:highlight w:val="none"/>
          <w:u w:val="none"/>
        </w:rPr>
        <w:br w:type="page"/>
      </w:r>
    </w:p>
    <w:p>
      <w:pPr>
        <w:pStyle w:val="2"/>
        <w:rPr>
          <w:rFonts w:ascii="Times New Roman"/>
          <w:b w:val="0"/>
          <w:bCs/>
          <w:color w:val="000000"/>
          <w:highlight w:val="none"/>
          <w:u w:val="none"/>
        </w:rPr>
      </w:pPr>
      <w:r>
        <w:rPr>
          <w:color w:val="000000"/>
          <w:highlight w:val="none"/>
          <w:u w:val="none"/>
        </w:rPr>
        <w:t xml:space="preserve">1 </w:t>
      </w:r>
      <w:r>
        <w:rPr>
          <w:rFonts w:hint="eastAsia"/>
          <w:color w:val="000000"/>
          <w:highlight w:val="none"/>
          <w:u w:val="none"/>
          <w:lang w:eastAsia="zh-CN"/>
        </w:rPr>
        <w:t>、</w:t>
      </w:r>
      <w:r>
        <w:rPr>
          <w:rFonts w:ascii="Times New Roman"/>
          <w:b w:val="0"/>
          <w:color w:val="000000"/>
          <w:highlight w:val="none"/>
          <w:u w:val="none"/>
        </w:rPr>
        <w:t>供应商资格声明</w:t>
      </w:r>
      <w:r>
        <w:rPr>
          <w:rFonts w:hint="eastAsia" w:ascii="Times New Roman"/>
          <w:b w:val="0"/>
          <w:color w:val="000000"/>
          <w:highlight w:val="none"/>
          <w:u w:val="none"/>
        </w:rPr>
        <w:t>函</w:t>
      </w:r>
      <w:r>
        <w:rPr>
          <w:rFonts w:ascii="Times New Roman"/>
          <w:b w:val="0"/>
          <w:color w:val="000000"/>
          <w:highlight w:val="none"/>
          <w:u w:val="none"/>
        </w:rPr>
        <w:t>（实质性格式）</w:t>
      </w:r>
    </w:p>
    <w:p>
      <w:pPr>
        <w:widowControl/>
        <w:adjustRightInd w:val="0"/>
        <w:snapToGrid w:val="0"/>
        <w:spacing w:before="120" w:beforeLines="50" w:line="360" w:lineRule="auto"/>
        <w:jc w:val="center"/>
        <w:rPr>
          <w:rFonts w:ascii="宋体" w:hAnsi="宋体" w:cs="宋体"/>
          <w:szCs w:val="21"/>
          <w:highlight w:val="none"/>
        </w:rPr>
      </w:pPr>
      <w:r>
        <w:rPr>
          <w:rFonts w:hint="eastAsia" w:ascii="宋体" w:hAnsi="宋体" w:cs="宋体"/>
          <w:b/>
          <w:sz w:val="28"/>
          <w:szCs w:val="28"/>
          <w:highlight w:val="none"/>
        </w:rPr>
        <w:t>供应商资格声明函</w:t>
      </w:r>
    </w:p>
    <w:p>
      <w:pPr>
        <w:pStyle w:val="4"/>
        <w:spacing w:line="460" w:lineRule="exact"/>
        <w:ind w:firstLine="480"/>
        <w:rPr>
          <w:rFonts w:hint="eastAsia" w:eastAsia="宋体"/>
          <w:highlight w:val="none"/>
          <w:u w:val="single"/>
          <w:lang w:eastAsia="zh-CN"/>
        </w:rPr>
      </w:pPr>
      <w:r>
        <w:rPr>
          <w:rFonts w:hint="eastAsia"/>
          <w:highlight w:val="none"/>
        </w:rPr>
        <w:t>致：</w:t>
      </w:r>
      <w:r>
        <w:rPr>
          <w:rFonts w:hint="eastAsia"/>
          <w:highlight w:val="none"/>
          <w:lang w:eastAsia="zh-CN"/>
        </w:rPr>
        <w:t>常州市金坛区教育基本建设与装备管理中心</w:t>
      </w:r>
    </w:p>
    <w:p>
      <w:pPr>
        <w:pStyle w:val="4"/>
        <w:spacing w:line="460" w:lineRule="exact"/>
        <w:ind w:firstLine="480"/>
        <w:rPr>
          <w:highlight w:val="none"/>
        </w:rPr>
      </w:pPr>
      <w:r>
        <w:rPr>
          <w:rFonts w:hint="eastAsia"/>
          <w:highlight w:val="none"/>
        </w:rPr>
        <w:t>按照磋商文件的规定，我单位郑重声明如下：</w:t>
      </w:r>
    </w:p>
    <w:p>
      <w:pPr>
        <w:pStyle w:val="4"/>
        <w:spacing w:line="460" w:lineRule="exact"/>
        <w:ind w:firstLine="480"/>
        <w:rPr>
          <w:highlight w:val="none"/>
        </w:rPr>
      </w:pPr>
      <w:r>
        <w:rPr>
          <w:rFonts w:hint="eastAsia"/>
          <w:highlight w:val="none"/>
        </w:rPr>
        <w:t>一、我单位是按照中华人民共和国法律规定登记注册的，注册地点为</w:t>
      </w:r>
      <w:r>
        <w:rPr>
          <w:rFonts w:hint="eastAsia"/>
          <w:highlight w:val="none"/>
          <w:u w:val="single"/>
        </w:rPr>
        <w:t xml:space="preserve">         </w:t>
      </w:r>
      <w:r>
        <w:rPr>
          <w:rFonts w:hint="eastAsia"/>
          <w:highlight w:val="none"/>
        </w:rPr>
        <w:t>，全称为</w:t>
      </w:r>
      <w:r>
        <w:rPr>
          <w:rFonts w:hint="eastAsia"/>
          <w:highlight w:val="none"/>
          <w:u w:val="single"/>
        </w:rPr>
        <w:t xml:space="preserve">        </w:t>
      </w:r>
      <w:r>
        <w:rPr>
          <w:rFonts w:hint="eastAsia"/>
          <w:highlight w:val="none"/>
        </w:rPr>
        <w:t>，统一社会信用代码为</w:t>
      </w:r>
      <w:r>
        <w:rPr>
          <w:rFonts w:hint="eastAsia"/>
          <w:highlight w:val="none"/>
          <w:u w:val="single"/>
        </w:rPr>
        <w:t xml:space="preserve">           </w:t>
      </w:r>
      <w:r>
        <w:rPr>
          <w:rFonts w:hint="eastAsia"/>
          <w:highlight w:val="none"/>
        </w:rPr>
        <w:t xml:space="preserve"> ，法定代表人（单位负责人）为</w:t>
      </w:r>
      <w:r>
        <w:rPr>
          <w:rFonts w:hint="eastAsia"/>
          <w:highlight w:val="none"/>
          <w:u w:val="single"/>
        </w:rPr>
        <w:t xml:space="preserve">         </w:t>
      </w:r>
      <w:r>
        <w:rPr>
          <w:rFonts w:hint="eastAsia"/>
          <w:highlight w:val="none"/>
        </w:rPr>
        <w:t>，具有独立承担民事责任的能力</w:t>
      </w:r>
      <w:r>
        <w:rPr>
          <w:rFonts w:hint="eastAsia"/>
          <w:b/>
          <w:highlight w:val="none"/>
        </w:rPr>
        <w:t>（如属于分公司经总公司授权参与项目，由总公司承担民事责任的，需提供总公司项目授权书）</w:t>
      </w:r>
      <w:r>
        <w:rPr>
          <w:rFonts w:hint="eastAsia"/>
          <w:highlight w:val="none"/>
        </w:rPr>
        <w:t>。</w:t>
      </w:r>
    </w:p>
    <w:p>
      <w:pPr>
        <w:pStyle w:val="4"/>
        <w:spacing w:line="460" w:lineRule="exact"/>
        <w:ind w:firstLine="480"/>
        <w:rPr>
          <w:highlight w:val="none"/>
        </w:rPr>
      </w:pPr>
      <w:r>
        <w:rPr>
          <w:rFonts w:hint="eastAsia"/>
          <w:highlight w:val="none"/>
        </w:rPr>
        <w:t>二、我单位未被“国家企业信用信息系统”列入经营异常名录或者严重违法企业名单。</w:t>
      </w:r>
    </w:p>
    <w:p>
      <w:pPr>
        <w:pStyle w:val="4"/>
        <w:spacing w:line="460" w:lineRule="exact"/>
        <w:ind w:firstLine="480"/>
        <w:rPr>
          <w:highlight w:val="none"/>
        </w:rPr>
      </w:pPr>
      <w:r>
        <w:rPr>
          <w:rFonts w:hint="eastAsia"/>
          <w:highlight w:val="none"/>
        </w:rPr>
        <w:t>三、我单位具有良好的商业信誉（指供应商经营状况良好，无本资格声明第</w:t>
      </w:r>
      <w:r>
        <w:rPr>
          <w:rFonts w:hint="eastAsia"/>
          <w:highlight w:val="none"/>
          <w:lang w:eastAsia="zh-CN"/>
        </w:rPr>
        <w:t>九</w:t>
      </w:r>
      <w:r>
        <w:rPr>
          <w:rFonts w:hint="eastAsia"/>
          <w:highlight w:val="none"/>
        </w:rPr>
        <w:t>条情形）和健全的财务会计制度。</w:t>
      </w:r>
    </w:p>
    <w:p>
      <w:pPr>
        <w:pStyle w:val="4"/>
        <w:spacing w:line="460" w:lineRule="exact"/>
        <w:ind w:firstLine="480"/>
        <w:rPr>
          <w:highlight w:val="none"/>
        </w:rPr>
      </w:pPr>
      <w:r>
        <w:rPr>
          <w:rFonts w:hint="eastAsia"/>
          <w:highlight w:val="none"/>
        </w:rPr>
        <w:t>四、我单位依法进行纳税和社会保险申报并实际履行了义务。</w:t>
      </w:r>
    </w:p>
    <w:p>
      <w:pPr>
        <w:pStyle w:val="4"/>
        <w:spacing w:line="460" w:lineRule="exact"/>
        <w:ind w:firstLine="480"/>
        <w:rPr>
          <w:highlight w:val="none"/>
        </w:rPr>
      </w:pPr>
      <w:r>
        <w:rPr>
          <w:rFonts w:hint="eastAsia"/>
          <w:highlight w:val="none"/>
        </w:rPr>
        <w:t>五、我单位具有履行本项目采购合同所必需的设备和专业技术能力，并具有履行合同的良好</w:t>
      </w:r>
      <w:r>
        <w:rPr>
          <w:highlight w:val="none"/>
        </w:rPr>
        <w:t>记录</w:t>
      </w:r>
      <w:r>
        <w:rPr>
          <w:rFonts w:hint="eastAsia"/>
          <w:highlight w:val="none"/>
        </w:rPr>
        <w:t>。为履行本项采购合同我单位具备如下主要设备和主要专业技术能力:</w:t>
      </w:r>
    </w:p>
    <w:p>
      <w:pPr>
        <w:pStyle w:val="4"/>
        <w:spacing w:line="460" w:lineRule="exact"/>
        <w:ind w:firstLine="480"/>
        <w:rPr>
          <w:highlight w:val="none"/>
        </w:rPr>
      </w:pPr>
      <w:r>
        <w:rPr>
          <w:rFonts w:hint="eastAsia"/>
          <w:highlight w:val="none"/>
        </w:rPr>
        <w:t>主要设备有：</w:t>
      </w:r>
      <w:r>
        <w:rPr>
          <w:highlight w:val="none"/>
          <w:u w:val="single"/>
        </w:rPr>
        <w:t xml:space="preserve">            </w:t>
      </w:r>
    </w:p>
    <w:p>
      <w:pPr>
        <w:pStyle w:val="4"/>
        <w:spacing w:line="460" w:lineRule="exact"/>
        <w:ind w:firstLine="480"/>
        <w:rPr>
          <w:highlight w:val="none"/>
        </w:rPr>
      </w:pPr>
      <w:r>
        <w:rPr>
          <w:rFonts w:hint="eastAsia"/>
          <w:highlight w:val="none"/>
        </w:rPr>
        <w:t>主要专业技术能力有</w:t>
      </w:r>
      <w:r>
        <w:rPr>
          <w:rFonts w:hint="eastAsia"/>
          <w:highlight w:val="none"/>
          <w:u w:val="single"/>
        </w:rPr>
        <w:t xml:space="preserve">                 </w:t>
      </w:r>
    </w:p>
    <w:p>
      <w:pPr>
        <w:pStyle w:val="4"/>
        <w:spacing w:line="460" w:lineRule="exact"/>
        <w:ind w:firstLine="480"/>
        <w:rPr>
          <w:highlight w:val="none"/>
        </w:rPr>
      </w:pPr>
      <w:r>
        <w:rPr>
          <w:rFonts w:hint="eastAsia"/>
          <w:highlight w:val="none"/>
        </w:rPr>
        <w:t>六、我单位具备法律、行政法规规定的其他条件。</w:t>
      </w:r>
    </w:p>
    <w:p>
      <w:pPr>
        <w:pStyle w:val="4"/>
        <w:spacing w:line="460" w:lineRule="exact"/>
        <w:ind w:firstLine="480"/>
        <w:rPr>
          <w:highlight w:val="none"/>
        </w:rPr>
      </w:pPr>
      <w:r>
        <w:rPr>
          <w:rFonts w:hint="eastAsia"/>
          <w:highlight w:val="none"/>
        </w:rPr>
        <w:t>七、与我单位存在“单位负责人为同一人或者存在直接控股、管理关系”的其他单位信息如下（如无此情形的，填写“无”）：</w:t>
      </w:r>
    </w:p>
    <w:p>
      <w:pPr>
        <w:pStyle w:val="4"/>
        <w:spacing w:line="460" w:lineRule="exact"/>
        <w:ind w:firstLine="480"/>
        <w:rPr>
          <w:highlight w:val="none"/>
        </w:rPr>
      </w:pPr>
      <w:r>
        <w:rPr>
          <w:rFonts w:hint="eastAsia"/>
          <w:highlight w:val="none"/>
        </w:rPr>
        <w:t>1、与我单位的法定代表人（单位负责人）为同一人的其他单位如下：</w:t>
      </w:r>
      <w:r>
        <w:rPr>
          <w:rFonts w:hint="eastAsia"/>
          <w:highlight w:val="none"/>
          <w:u w:val="single"/>
        </w:rPr>
        <w:t xml:space="preserve">     </w:t>
      </w:r>
      <w:r>
        <w:rPr>
          <w:rFonts w:hint="eastAsia"/>
          <w:highlight w:val="none"/>
        </w:rPr>
        <w:t xml:space="preserve">          </w:t>
      </w:r>
    </w:p>
    <w:p>
      <w:pPr>
        <w:pStyle w:val="4"/>
        <w:spacing w:line="460" w:lineRule="exact"/>
        <w:ind w:firstLine="480"/>
        <w:rPr>
          <w:highlight w:val="none"/>
        </w:rPr>
      </w:pPr>
      <w:r>
        <w:rPr>
          <w:rFonts w:hint="eastAsia"/>
          <w:highlight w:val="none"/>
        </w:rPr>
        <w:t>2、我单位直接控股的其他单位如下：</w:t>
      </w:r>
      <w:r>
        <w:rPr>
          <w:rFonts w:hint="eastAsia"/>
          <w:highlight w:val="none"/>
          <w:u w:val="single"/>
        </w:rPr>
        <w:t xml:space="preserve">                    </w:t>
      </w:r>
      <w:r>
        <w:rPr>
          <w:rFonts w:hint="eastAsia"/>
          <w:highlight w:val="none"/>
        </w:rPr>
        <w:t xml:space="preserve"> </w:t>
      </w:r>
    </w:p>
    <w:p>
      <w:pPr>
        <w:pStyle w:val="4"/>
        <w:spacing w:line="460" w:lineRule="exact"/>
        <w:ind w:firstLine="480"/>
        <w:rPr>
          <w:highlight w:val="none"/>
        </w:rPr>
      </w:pPr>
      <w:r>
        <w:rPr>
          <w:rFonts w:hint="eastAsia"/>
          <w:highlight w:val="none"/>
        </w:rPr>
        <w:t>3、与我单位存在管理关系的其他单位如下：</w:t>
      </w:r>
      <w:r>
        <w:rPr>
          <w:rFonts w:hint="eastAsia"/>
          <w:highlight w:val="none"/>
          <w:u w:val="single"/>
        </w:rPr>
        <w:t xml:space="preserve">              </w:t>
      </w:r>
      <w:r>
        <w:rPr>
          <w:rFonts w:hint="eastAsia"/>
          <w:highlight w:val="none"/>
        </w:rPr>
        <w:t xml:space="preserve"> </w:t>
      </w:r>
    </w:p>
    <w:p>
      <w:pPr>
        <w:pStyle w:val="4"/>
        <w:spacing w:line="460" w:lineRule="exact"/>
        <w:ind w:firstLine="480"/>
        <w:rPr>
          <w:highlight w:val="none"/>
        </w:rPr>
      </w:pPr>
      <w:r>
        <w:rPr>
          <w:rFonts w:hint="eastAsia"/>
          <w:highlight w:val="none"/>
        </w:rPr>
        <w:t>八、</w:t>
      </w:r>
      <w:r>
        <w:rPr>
          <w:highlight w:val="none"/>
        </w:rPr>
        <w:t>我</w:t>
      </w:r>
      <w:r>
        <w:rPr>
          <w:rFonts w:hint="eastAsia"/>
          <w:highlight w:val="none"/>
        </w:rPr>
        <w:t>单位</w:t>
      </w:r>
      <w:r>
        <w:rPr>
          <w:highlight w:val="none"/>
        </w:rPr>
        <w:t>不属于为本项目提供整体设计、规范编制或者项目管理、监理、检测等服务的供应商。</w:t>
      </w:r>
    </w:p>
    <w:p>
      <w:pPr>
        <w:pStyle w:val="4"/>
        <w:spacing w:line="460" w:lineRule="exact"/>
        <w:ind w:firstLine="480"/>
        <w:rPr>
          <w:highlight w:val="none"/>
        </w:rPr>
      </w:pPr>
      <w:r>
        <w:rPr>
          <w:rFonts w:hint="eastAsia"/>
          <w:highlight w:val="none"/>
        </w:rPr>
        <w:t>九、</w:t>
      </w:r>
      <w:r>
        <w:rPr>
          <w:highlight w:val="none"/>
        </w:rPr>
        <w:t>我单位无以下不良信用记录情形：</w:t>
      </w:r>
    </w:p>
    <w:p>
      <w:pPr>
        <w:pStyle w:val="4"/>
        <w:spacing w:line="460" w:lineRule="exact"/>
        <w:ind w:firstLine="480"/>
        <w:rPr>
          <w:highlight w:val="none"/>
        </w:rPr>
      </w:pPr>
      <w:r>
        <w:rPr>
          <w:highlight w:val="none"/>
        </w:rPr>
        <w:t>1</w:t>
      </w:r>
      <w:r>
        <w:rPr>
          <w:rFonts w:hint="eastAsia"/>
          <w:highlight w:val="none"/>
        </w:rPr>
        <w:t>、在“信用中国”网站被列入失信被执行人和重大税收违法案件当事人名单；</w:t>
      </w:r>
    </w:p>
    <w:p>
      <w:pPr>
        <w:pStyle w:val="4"/>
        <w:spacing w:line="460" w:lineRule="exact"/>
        <w:ind w:firstLine="480"/>
        <w:rPr>
          <w:highlight w:val="none"/>
        </w:rPr>
      </w:pPr>
      <w:r>
        <w:rPr>
          <w:highlight w:val="none"/>
        </w:rPr>
        <w:t>2</w:t>
      </w:r>
      <w:r>
        <w:rPr>
          <w:rFonts w:hint="eastAsia"/>
          <w:highlight w:val="none"/>
        </w:rPr>
        <w:t>、在“中国政府采购网”网站被列入政府采购严重违法失信行为记录名单；</w:t>
      </w:r>
    </w:p>
    <w:p>
      <w:pPr>
        <w:pStyle w:val="4"/>
        <w:spacing w:line="460" w:lineRule="exact"/>
        <w:ind w:firstLine="480"/>
        <w:rPr>
          <w:highlight w:val="none"/>
        </w:rPr>
      </w:pPr>
    </w:p>
    <w:p>
      <w:pPr>
        <w:pStyle w:val="4"/>
        <w:spacing w:line="460" w:lineRule="exact"/>
        <w:ind w:firstLine="480"/>
        <w:rPr>
          <w:highlight w:val="none"/>
        </w:rPr>
      </w:pPr>
      <w:r>
        <w:rPr>
          <w:rFonts w:hint="eastAsia"/>
          <w:highlight w:val="none"/>
        </w:rPr>
        <w:t>我单位保证上述声明的事项都是真实的，如有虚假，我单位愿意承担相应的法律责任，并承担因此所造成的一切损失。</w:t>
      </w:r>
    </w:p>
    <w:p>
      <w:pPr>
        <w:pStyle w:val="4"/>
        <w:spacing w:line="460" w:lineRule="exact"/>
        <w:ind w:firstLine="480"/>
        <w:rPr>
          <w:highlight w:val="none"/>
        </w:rPr>
      </w:pPr>
    </w:p>
    <w:p>
      <w:pPr>
        <w:pStyle w:val="4"/>
        <w:spacing w:line="460" w:lineRule="exact"/>
        <w:ind w:firstLine="480"/>
        <w:rPr>
          <w:highlight w:val="none"/>
        </w:rPr>
      </w:pPr>
    </w:p>
    <w:p>
      <w:pPr>
        <w:pStyle w:val="4"/>
        <w:spacing w:line="460" w:lineRule="exact"/>
        <w:ind w:firstLine="480"/>
        <w:rPr>
          <w:highlight w:val="none"/>
        </w:rPr>
      </w:pPr>
      <w:r>
        <w:rPr>
          <w:rFonts w:hint="eastAsia"/>
          <w:highlight w:val="none"/>
        </w:rPr>
        <w:t>                                            供应商：（加盖公章）</w:t>
      </w:r>
    </w:p>
    <w:p>
      <w:pPr>
        <w:pStyle w:val="4"/>
        <w:spacing w:line="460" w:lineRule="exact"/>
        <w:ind w:firstLine="480"/>
        <w:rPr>
          <w:highlight w:val="none"/>
        </w:rPr>
      </w:pPr>
      <w:r>
        <w:rPr>
          <w:rFonts w:hint="eastAsia"/>
          <w:highlight w:val="none"/>
        </w:rPr>
        <w:t>                                    法定代表人（或单位负责人）签字或盖章：</w:t>
      </w:r>
    </w:p>
    <w:p>
      <w:pPr>
        <w:pStyle w:val="4"/>
        <w:spacing w:line="460" w:lineRule="exact"/>
        <w:ind w:firstLine="4920" w:firstLineChars="2050"/>
        <w:rPr>
          <w:rFonts w:hint="eastAsia"/>
          <w:highlight w:val="none"/>
        </w:rPr>
      </w:pPr>
      <w:r>
        <w:rPr>
          <w:rFonts w:hint="eastAsia"/>
          <w:highlight w:val="none"/>
        </w:rPr>
        <w:t>日期：    年    月    日</w:t>
      </w:r>
    </w:p>
    <w:p>
      <w:pPr>
        <w:spacing w:line="360" w:lineRule="auto"/>
        <w:rPr>
          <w:rFonts w:hint="eastAsia"/>
          <w:sz w:val="24"/>
          <w:highlight w:val="none"/>
        </w:rPr>
      </w:pPr>
    </w:p>
    <w:p>
      <w:pPr>
        <w:spacing w:line="360" w:lineRule="auto"/>
        <w:rPr>
          <w:rFonts w:hint="eastAsia"/>
          <w:sz w:val="24"/>
          <w:highlight w:val="none"/>
        </w:rPr>
      </w:pPr>
    </w:p>
    <w:p>
      <w:pPr>
        <w:spacing w:line="360" w:lineRule="auto"/>
        <w:rPr>
          <w:rFonts w:hint="eastAsia"/>
          <w:sz w:val="24"/>
          <w:highlight w:val="none"/>
        </w:rPr>
      </w:pPr>
    </w:p>
    <w:p>
      <w:pPr>
        <w:spacing w:line="360" w:lineRule="auto"/>
        <w:rPr>
          <w:sz w:val="24"/>
          <w:highlight w:val="none"/>
        </w:rPr>
      </w:pPr>
      <w:r>
        <w:rPr>
          <w:sz w:val="24"/>
          <w:highlight w:val="none"/>
        </w:rPr>
        <w:t>说明：</w:t>
      </w:r>
      <w:r>
        <w:rPr>
          <w:rFonts w:hint="eastAsia"/>
          <w:sz w:val="24"/>
          <w:highlight w:val="none"/>
        </w:rPr>
        <w:t>供应商承诺不实的，“提供虚假材料谋取中标、成交的”有关规定予以处理</w:t>
      </w:r>
      <w:r>
        <w:rPr>
          <w:sz w:val="24"/>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cs="Times New Roman"/>
          <w:b/>
          <w:bCs/>
          <w:color w:val="auto"/>
          <w:sz w:val="24"/>
          <w:szCs w:val="24"/>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imes New Roman" w:hAnsi="Times New Roman" w:eastAsia="宋体" w:cs="Times New Roman"/>
          <w:b/>
          <w:bCs/>
          <w:color w:val="000000"/>
          <w:kern w:val="2"/>
          <w:sz w:val="32"/>
          <w:szCs w:val="32"/>
          <w:highlight w:val="none"/>
          <w:u w:val="none"/>
          <w:lang w:val="en-US" w:eastAsia="zh-CN" w:bidi="ar-SA"/>
        </w:rPr>
      </w:pPr>
      <w:r>
        <w:rPr>
          <w:rFonts w:hint="eastAsia" w:ascii="Times New Roman" w:hAnsi="Times New Roman" w:eastAsia="宋体" w:cs="Times New Roman"/>
          <w:b/>
          <w:bCs/>
          <w:color w:val="000000"/>
          <w:kern w:val="2"/>
          <w:sz w:val="32"/>
          <w:szCs w:val="32"/>
          <w:highlight w:val="none"/>
          <w:u w:val="none"/>
          <w:lang w:val="en-US" w:eastAsia="zh-CN" w:bidi="ar-SA"/>
        </w:rPr>
        <w:t>2、食用油和调味品配送供应商资格审查表</w:t>
      </w:r>
    </w:p>
    <w:p>
      <w:pPr>
        <w:pStyle w:val="5"/>
        <w:rPr>
          <w:rFonts w:hint="eastAsia"/>
          <w:highlight w:val="none"/>
          <w:lang w:val="en-US" w:eastAsia="zh-CN"/>
        </w:rPr>
      </w:pPr>
    </w:p>
    <w:p>
      <w:pPr>
        <w:pStyle w:val="5"/>
        <w:rPr>
          <w:rFonts w:hint="default"/>
          <w:sz w:val="24"/>
          <w:szCs w:val="24"/>
          <w:highlight w:val="none"/>
          <w:u w:val="none"/>
          <w:lang w:val="en-US" w:eastAsia="zh-CN"/>
        </w:rPr>
      </w:pPr>
      <w:r>
        <w:rPr>
          <w:rFonts w:hint="eastAsia"/>
          <w:sz w:val="24"/>
          <w:szCs w:val="24"/>
          <w:highlight w:val="none"/>
          <w:lang w:val="en-US" w:eastAsia="zh-CN"/>
        </w:rPr>
        <w:t>供应商名称：</w:t>
      </w:r>
      <w:r>
        <w:rPr>
          <w:rFonts w:hint="eastAsia"/>
          <w:sz w:val="24"/>
          <w:szCs w:val="24"/>
          <w:highlight w:val="none"/>
          <w:u w:val="singl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p>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r>
        <w:rPr>
          <w:rFonts w:hint="eastAsia"/>
          <w:sz w:val="24"/>
          <w:szCs w:val="24"/>
          <w:highlight w:val="none"/>
          <w:lang w:val="en-US" w:eastAsia="zh-CN"/>
        </w:rPr>
        <w:t>一、纸质材料审查</w:t>
      </w:r>
    </w:p>
    <w:tbl>
      <w:tblPr>
        <w:tblStyle w:val="15"/>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8364"/>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序号</w:t>
            </w:r>
          </w:p>
        </w:tc>
        <w:tc>
          <w:tcPr>
            <w:tcW w:w="8364"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审查内容</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1</w:t>
            </w:r>
          </w:p>
        </w:tc>
        <w:tc>
          <w:tcPr>
            <w:tcW w:w="8364" w:type="dxa"/>
            <w:vAlign w:val="center"/>
          </w:tcPr>
          <w:p>
            <w:pPr>
              <w:rPr>
                <w:rFonts w:hint="eastAsia"/>
                <w:highlight w:val="none"/>
                <w:lang w:val="en-US" w:eastAsia="zh-CN"/>
              </w:rPr>
            </w:pPr>
            <w:r>
              <w:rPr>
                <w:rFonts w:hint="eastAsia" w:asciiTheme="minorHAnsi" w:eastAsiaTheme="minorEastAsia"/>
                <w:sz w:val="24"/>
                <w:szCs w:val="24"/>
                <w:highlight w:val="none"/>
                <w:lang w:val="en-US" w:eastAsia="zh-CN"/>
              </w:rPr>
              <w:t>响应供应商自有或租赁的用于本项目的固定仓储场所，须提供自有场地证明复印件（如房产证，登记名称与响应供应商名称必须一致）或者租赁协议复印件（截止日期不早于2025年8月1日）。</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62"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2</w:t>
            </w:r>
          </w:p>
        </w:tc>
        <w:tc>
          <w:tcPr>
            <w:tcW w:w="8364"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asciiTheme="minorHAnsi" w:eastAsiaTheme="minorEastAsia"/>
                <w:sz w:val="24"/>
                <w:szCs w:val="24"/>
                <w:highlight w:val="none"/>
                <w:lang w:val="en-US" w:eastAsia="zh-CN"/>
              </w:rPr>
            </w:pPr>
            <w:r>
              <w:rPr>
                <w:rFonts w:hint="eastAsia" w:asciiTheme="minorHAnsi" w:eastAsiaTheme="minorEastAsia"/>
                <w:sz w:val="24"/>
                <w:szCs w:val="24"/>
                <w:highlight w:val="none"/>
                <w:lang w:val="en-US" w:eastAsia="zh-CN"/>
              </w:rPr>
              <w:t>有效的营业执照及食品经营许可证复印件。</w:t>
            </w:r>
          </w:p>
        </w:tc>
        <w:tc>
          <w:tcPr>
            <w:tcW w:w="752"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bl>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p>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lang w:val="en-US" w:eastAsia="zh-CN"/>
        </w:rPr>
      </w:pPr>
      <w:r>
        <w:rPr>
          <w:rFonts w:hint="eastAsia"/>
          <w:sz w:val="24"/>
          <w:szCs w:val="24"/>
          <w:highlight w:val="none"/>
          <w:lang w:val="en-US" w:eastAsia="zh-CN"/>
        </w:rPr>
        <w:t>二、现场审查</w:t>
      </w:r>
    </w:p>
    <w:tbl>
      <w:tblPr>
        <w:tblStyle w:val="1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8347"/>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序号</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审查内容</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61" w:type="dxa"/>
            <w:vAlign w:val="center"/>
          </w:tcPr>
          <w:p>
            <w:pPr>
              <w:pStyle w:val="5"/>
              <w:keepNext w:val="0"/>
              <w:keepLines w:val="0"/>
              <w:pageBreakBefore w:val="0"/>
              <w:widowControl w:val="0"/>
              <w:kinsoku/>
              <w:wordWrap/>
              <w:overflowPunct/>
              <w:topLinePunct w:val="0"/>
              <w:autoSpaceDE/>
              <w:autoSpaceDN/>
              <w:bidi w:val="0"/>
              <w:adjustRightInd/>
              <w:snapToGrid w:val="0"/>
              <w:spacing w:after="0"/>
              <w:jc w:val="center"/>
              <w:textAlignment w:val="auto"/>
              <w:rPr>
                <w:rFonts w:hint="default" w:asciiTheme="minorAscii" w:hAnsiTheme="minorAscii" w:eastAsiaTheme="minorEastAsia" w:cstheme="minorBidi"/>
                <w:kern w:val="2"/>
                <w:sz w:val="24"/>
                <w:szCs w:val="24"/>
                <w:highlight w:val="none"/>
                <w:vertAlign w:val="baseline"/>
                <w:lang w:val="en-US" w:eastAsia="zh-CN" w:bidi="ar-SA"/>
              </w:rPr>
            </w:pPr>
            <w:r>
              <w:rPr>
                <w:rFonts w:hint="eastAsia"/>
                <w:sz w:val="24"/>
                <w:szCs w:val="24"/>
                <w:highlight w:val="none"/>
                <w:vertAlign w:val="baseline"/>
                <w:lang w:val="en-US" w:eastAsia="zh-CN"/>
              </w:rPr>
              <w:t>1</w:t>
            </w:r>
          </w:p>
        </w:tc>
        <w:tc>
          <w:tcPr>
            <w:tcW w:w="8347"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r>
              <w:rPr>
                <w:rFonts w:hint="eastAsia"/>
                <w:sz w:val="24"/>
                <w:szCs w:val="24"/>
                <w:highlight w:val="none"/>
                <w:vertAlign w:val="baseline"/>
                <w:lang w:val="en-US" w:eastAsia="zh-CN"/>
              </w:rPr>
              <w:t>用于本项目的固定</w:t>
            </w:r>
            <w:r>
              <w:rPr>
                <w:rFonts w:hint="eastAsia" w:asciiTheme="minorHAnsi" w:eastAsiaTheme="minorEastAsia"/>
                <w:sz w:val="24"/>
                <w:szCs w:val="24"/>
                <w:highlight w:val="none"/>
                <w:lang w:val="en-US" w:eastAsia="zh-CN"/>
              </w:rPr>
              <w:t>仓储场所</w:t>
            </w:r>
            <w:r>
              <w:rPr>
                <w:rFonts w:hint="eastAsia"/>
                <w:sz w:val="24"/>
                <w:szCs w:val="24"/>
                <w:highlight w:val="none"/>
                <w:vertAlign w:val="baseline"/>
                <w:lang w:val="en-US" w:eastAsia="zh-CN"/>
              </w:rPr>
              <w:t>面积实测不低于300平方米。</w:t>
            </w:r>
          </w:p>
        </w:tc>
        <w:tc>
          <w:tcPr>
            <w:tcW w:w="751" w:type="dxa"/>
            <w:vAlign w:val="center"/>
          </w:tcPr>
          <w:p>
            <w:pPr>
              <w:pStyle w:val="5"/>
              <w:keepNext w:val="0"/>
              <w:keepLines w:val="0"/>
              <w:pageBreakBefore w:val="0"/>
              <w:widowControl w:val="0"/>
              <w:kinsoku/>
              <w:wordWrap/>
              <w:overflowPunct/>
              <w:topLinePunct w:val="0"/>
              <w:autoSpaceDE/>
              <w:autoSpaceDN/>
              <w:bidi w:val="0"/>
              <w:adjustRightInd/>
              <w:snapToGrid w:val="0"/>
              <w:spacing w:after="0"/>
              <w:textAlignment w:val="auto"/>
              <w:rPr>
                <w:rFonts w:hint="eastAsia"/>
                <w:sz w:val="24"/>
                <w:szCs w:val="24"/>
                <w:highlight w:val="none"/>
                <w:vertAlign w:val="baseline"/>
                <w:lang w:val="en-US" w:eastAsia="zh-CN"/>
              </w:rPr>
            </w:pPr>
          </w:p>
        </w:tc>
      </w:tr>
    </w:tbl>
    <w:p>
      <w:pPr>
        <w:pStyle w:val="5"/>
        <w:keepNext w:val="0"/>
        <w:keepLines w:val="0"/>
        <w:pageBreakBefore w:val="0"/>
        <w:widowControl w:val="0"/>
        <w:kinsoku/>
        <w:wordWrap/>
        <w:overflowPunct/>
        <w:topLinePunct w:val="0"/>
        <w:autoSpaceDE/>
        <w:autoSpaceDN/>
        <w:bidi w:val="0"/>
        <w:adjustRightInd/>
        <w:snapToGrid w:val="0"/>
        <w:spacing w:after="0" w:line="400" w:lineRule="exact"/>
        <w:textAlignment w:val="auto"/>
        <w:rPr>
          <w:rFonts w:hint="eastAsia" w:asciiTheme="minorHAnsi" w:eastAsiaTheme="minorEastAsia"/>
          <w:sz w:val="24"/>
          <w:szCs w:val="24"/>
          <w:highlight w:val="none"/>
          <w:lang w:val="en-US" w:eastAsia="zh-CN"/>
        </w:rPr>
      </w:pPr>
      <w:r>
        <w:rPr>
          <w:rFonts w:hint="eastAsia"/>
          <w:sz w:val="24"/>
          <w:szCs w:val="24"/>
          <w:highlight w:val="none"/>
          <w:lang w:val="en-US" w:eastAsia="zh-CN"/>
        </w:rPr>
        <w:t>注：1. 所有租赁合同的</w:t>
      </w:r>
      <w:r>
        <w:rPr>
          <w:rFonts w:hint="eastAsia" w:asciiTheme="minorHAnsi" w:eastAsiaTheme="minorEastAsia"/>
          <w:sz w:val="24"/>
          <w:szCs w:val="24"/>
          <w:highlight w:val="none"/>
          <w:lang w:val="en-US" w:eastAsia="zh-CN"/>
        </w:rPr>
        <w:t>租赁到期时间不得早于2025年8月1日</w:t>
      </w:r>
      <w:r>
        <w:rPr>
          <w:rFonts w:hint="eastAsia" w:asciiTheme="minorHAnsi"/>
          <w:sz w:val="24"/>
          <w:szCs w:val="24"/>
          <w:highlight w:val="none"/>
          <w:lang w:val="en-US" w:eastAsia="zh-CN"/>
        </w:rPr>
        <w:t>；</w:t>
      </w:r>
    </w:p>
    <w:p>
      <w:pPr>
        <w:pStyle w:val="5"/>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eastAsia" w:cs="Times New Roman"/>
          <w:sz w:val="24"/>
          <w:szCs w:val="24"/>
          <w:highlight w:val="none"/>
          <w:lang w:val="en-US" w:eastAsia="zh-CN"/>
        </w:rPr>
      </w:pPr>
      <w:r>
        <w:rPr>
          <w:rFonts w:hint="eastAsia" w:asciiTheme="minorHAnsi"/>
          <w:sz w:val="24"/>
          <w:szCs w:val="24"/>
          <w:highlight w:val="none"/>
          <w:lang w:val="en-US" w:eastAsia="zh-CN"/>
        </w:rPr>
        <w:t>2. 审查</w:t>
      </w:r>
      <w:r>
        <w:rPr>
          <w:rFonts w:hint="eastAsia" w:cs="Times New Roman"/>
          <w:sz w:val="24"/>
          <w:szCs w:val="24"/>
          <w:highlight w:val="none"/>
          <w:lang w:val="en-US" w:eastAsia="zh-CN"/>
        </w:rPr>
        <w:t>结果满足要求的打“√”，不满足要求的打“×”；</w:t>
      </w:r>
    </w:p>
    <w:p>
      <w:pPr>
        <w:pStyle w:val="5"/>
        <w:keepNext w:val="0"/>
        <w:keepLines w:val="0"/>
        <w:pageBreakBefore w:val="0"/>
        <w:widowControl w:val="0"/>
        <w:kinsoku/>
        <w:wordWrap/>
        <w:overflowPunct/>
        <w:topLinePunct w:val="0"/>
        <w:autoSpaceDE/>
        <w:autoSpaceDN/>
        <w:bidi w:val="0"/>
        <w:adjustRightInd/>
        <w:snapToGrid w:val="0"/>
        <w:spacing w:after="0" w:line="400" w:lineRule="exact"/>
        <w:ind w:firstLine="480" w:firstLineChars="200"/>
        <w:textAlignment w:val="auto"/>
        <w:rPr>
          <w:rFonts w:hint="default" w:cs="Times New Roman"/>
          <w:sz w:val="24"/>
          <w:szCs w:val="24"/>
          <w:highlight w:val="none"/>
          <w:lang w:val="en-US" w:eastAsia="zh-CN"/>
        </w:rPr>
      </w:pPr>
      <w:r>
        <w:rPr>
          <w:rFonts w:hint="eastAsia" w:cs="Times New Roman"/>
          <w:sz w:val="24"/>
          <w:szCs w:val="24"/>
          <w:highlight w:val="none"/>
          <w:lang w:val="en-US" w:eastAsia="zh-CN"/>
        </w:rPr>
        <w:t>3. 有一条不满足即为资格审查不通过。</w:t>
      </w:r>
    </w:p>
    <w:p>
      <w:pPr>
        <w:spacing w:line="360" w:lineRule="auto"/>
        <w:ind w:firstLine="482" w:firstLineChars="200"/>
        <w:rPr>
          <w:rFonts w:hint="default" w:cs="Times New Roman"/>
          <w:b/>
          <w:bCs/>
          <w:sz w:val="24"/>
          <w:szCs w:val="24"/>
          <w:highlight w:val="none"/>
          <w:lang w:val="en-US" w:eastAsia="zh-CN"/>
        </w:rPr>
      </w:pPr>
      <w:r>
        <w:rPr>
          <w:rFonts w:hint="eastAsia" w:cs="Times New Roman"/>
          <w:b/>
          <w:bCs/>
          <w:sz w:val="24"/>
          <w:szCs w:val="24"/>
          <w:highlight w:val="none"/>
          <w:lang w:val="en-US" w:eastAsia="zh-CN"/>
        </w:rPr>
        <w:t>4. 如入围上一</w:t>
      </w:r>
      <w:r>
        <w:rPr>
          <w:rFonts w:hint="eastAsia" w:ascii="Times New Roman" w:hAnsi="Times New Roman" w:cs="Times New Roman"/>
          <w:b/>
          <w:bCs/>
          <w:color w:val="000000"/>
          <w:sz w:val="24"/>
          <w:szCs w:val="24"/>
          <w:highlight w:val="none"/>
          <w:lang w:val="en-US" w:eastAsia="zh-CN"/>
        </w:rPr>
        <w:t>年度</w:t>
      </w:r>
      <w:r>
        <w:rPr>
          <w:rFonts w:hint="eastAsia" w:cs="Times New Roman"/>
          <w:b/>
          <w:bCs/>
          <w:sz w:val="24"/>
          <w:szCs w:val="24"/>
          <w:highlight w:val="none"/>
          <w:lang w:val="en-US" w:eastAsia="zh-CN"/>
        </w:rPr>
        <w:t>常州市金坛区公办中小学幼儿园食堂食用油和调味品配送服务</w:t>
      </w:r>
      <w:r>
        <w:rPr>
          <w:rFonts w:hint="eastAsia" w:ascii="Times New Roman" w:hAnsi="Times New Roman" w:eastAsia="宋体" w:cs="Times New Roman"/>
          <w:b/>
          <w:bCs/>
          <w:color w:val="000000"/>
          <w:sz w:val="24"/>
          <w:szCs w:val="24"/>
          <w:highlight w:val="none"/>
          <w:lang w:val="en-US" w:eastAsia="zh-CN"/>
        </w:rPr>
        <w:t>的供应商</w:t>
      </w:r>
      <w:r>
        <w:rPr>
          <w:rFonts w:hint="eastAsia" w:ascii="Times New Roman" w:hAnsi="Times New Roman" w:cs="Times New Roman"/>
          <w:b/>
          <w:bCs/>
          <w:color w:val="000000"/>
          <w:sz w:val="24"/>
          <w:szCs w:val="24"/>
          <w:highlight w:val="none"/>
          <w:lang w:val="en-US" w:eastAsia="zh-CN"/>
        </w:rPr>
        <w:t>，将不再进行现场审核。</w:t>
      </w:r>
    </w:p>
    <w:p>
      <w:pPr>
        <w:pStyle w:val="2"/>
        <w:rPr>
          <w:rFonts w:hint="default"/>
          <w:highlight w:val="none"/>
          <w:lang w:val="en-US" w:eastAsia="zh-CN"/>
        </w:rPr>
      </w:pP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highlight w:val="none"/>
          <w:u w:val="single"/>
          <w:lang w:val="en-US" w:eastAsia="zh-CN"/>
        </w:rPr>
      </w:pPr>
      <w:r>
        <w:rPr>
          <w:rFonts w:hint="eastAsia"/>
          <w:sz w:val="24"/>
          <w:szCs w:val="24"/>
          <w:highlight w:val="none"/>
        </w:rPr>
        <w:t>固定仓储中心实测面积</w:t>
      </w:r>
      <w:r>
        <w:rPr>
          <w:rFonts w:hint="eastAsia"/>
          <w:sz w:val="24"/>
          <w:szCs w:val="24"/>
          <w:highlight w:val="none"/>
          <w:lang w:val="en-US" w:eastAsia="zh-CN"/>
        </w:rPr>
        <w:t>：</w:t>
      </w:r>
      <w:r>
        <w:rPr>
          <w:rFonts w:hint="eastAsia"/>
          <w:sz w:val="24"/>
          <w:szCs w:val="24"/>
          <w:highlight w:val="none"/>
          <w:u w:val="single"/>
          <w:lang w:val="en-US" w:eastAsia="zh-CN"/>
        </w:rPr>
        <w:t xml:space="preserve">               </w:t>
      </w:r>
      <w:r>
        <w:rPr>
          <w:rFonts w:hint="eastAsia"/>
          <w:sz w:val="24"/>
          <w:szCs w:val="24"/>
          <w:highlight w:val="none"/>
          <w:u w:val="none"/>
          <w:lang w:val="en-US" w:eastAsia="zh-CN"/>
        </w:rPr>
        <w:t>平方米   资格审查结论</w:t>
      </w:r>
      <w:r>
        <w:rPr>
          <w:rFonts w:hint="eastAsia"/>
          <w:sz w:val="24"/>
          <w:szCs w:val="24"/>
          <w:highlight w:val="none"/>
          <w:u w:val="singl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highlight w:val="none"/>
          <w:u w:val="none"/>
          <w:lang w:val="en-US" w:eastAsia="zh-CN"/>
        </w:rPr>
      </w:pPr>
      <w:r>
        <w:rPr>
          <w:rFonts w:hint="eastAsia"/>
          <w:sz w:val="24"/>
          <w:szCs w:val="24"/>
          <w:highlight w:val="none"/>
          <w:lang w:val="en-US" w:eastAsia="zh-CN"/>
        </w:rPr>
        <w:t>响应供应商授权代表确认签名</w:t>
      </w:r>
      <w:r>
        <w:rPr>
          <w:rFonts w:hint="eastAsia"/>
          <w:sz w:val="24"/>
          <w:szCs w:val="24"/>
          <w:highlight w:val="none"/>
          <w:u w:val="singl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sz w:val="24"/>
          <w:szCs w:val="24"/>
          <w:highlight w:val="none"/>
          <w:u w:val="none"/>
          <w:lang w:val="en-US" w:eastAsia="zh-CN"/>
        </w:rPr>
      </w:pPr>
      <w:r>
        <w:rPr>
          <w:rFonts w:hint="eastAsia"/>
          <w:sz w:val="24"/>
          <w:szCs w:val="24"/>
          <w:highlight w:val="none"/>
          <w:u w:val="none"/>
          <w:lang w:val="en-US" w:eastAsia="zh-CN"/>
        </w:rPr>
        <w:t>资格审查评审小组签名</w:t>
      </w:r>
      <w:r>
        <w:rPr>
          <w:rFonts w:hint="eastAsia"/>
          <w:sz w:val="24"/>
          <w:szCs w:val="24"/>
          <w:highlight w:val="none"/>
          <w:u w:val="single"/>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sz w:val="24"/>
          <w:szCs w:val="24"/>
          <w:highlight w:val="none"/>
          <w:lang w:val="en-US" w:eastAsia="zh-CN"/>
        </w:rPr>
      </w:pPr>
    </w:p>
    <w:p>
      <w:pPr>
        <w:pStyle w:val="5"/>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Times New Roman" w:hAnsi="Times New Roman" w:cs="Times New Roman"/>
          <w:b/>
          <w:bCs/>
          <w:color w:val="auto"/>
          <w:sz w:val="24"/>
          <w:szCs w:val="24"/>
          <w:highlight w:val="none"/>
          <w:lang w:val="en-US" w:eastAsia="zh-CN"/>
        </w:rPr>
      </w:pPr>
      <w:r>
        <w:rPr>
          <w:rFonts w:hint="eastAsia"/>
          <w:sz w:val="24"/>
          <w:szCs w:val="24"/>
          <w:highlight w:val="none"/>
          <w:lang w:val="en-US" w:eastAsia="zh-CN"/>
        </w:rPr>
        <w:t>时间：</w:t>
      </w:r>
      <w:r>
        <w:rPr>
          <w:rFonts w:hint="eastAsia"/>
          <w:sz w:val="24"/>
          <w:szCs w:val="24"/>
          <w:highlight w:val="none"/>
          <w:u w:val="single"/>
          <w:lang w:val="en-US" w:eastAsia="zh-CN"/>
        </w:rPr>
        <w:t xml:space="preserve">        </w:t>
      </w:r>
      <w:r>
        <w:rPr>
          <w:rFonts w:hint="eastAsia"/>
          <w:sz w:val="24"/>
          <w:szCs w:val="24"/>
          <w:highlight w:val="none"/>
          <w:lang w:val="en-US" w:eastAsia="zh-CN"/>
        </w:rPr>
        <w:t>年</w:t>
      </w:r>
      <w:r>
        <w:rPr>
          <w:rFonts w:hint="eastAsia"/>
          <w:sz w:val="24"/>
          <w:szCs w:val="24"/>
          <w:highlight w:val="none"/>
          <w:u w:val="single"/>
          <w:lang w:val="en-US" w:eastAsia="zh-CN"/>
        </w:rPr>
        <w:t xml:space="preserve">    </w:t>
      </w:r>
      <w:r>
        <w:rPr>
          <w:rFonts w:hint="eastAsia"/>
          <w:sz w:val="24"/>
          <w:szCs w:val="24"/>
          <w:highlight w:val="none"/>
          <w:lang w:val="en-US" w:eastAsia="zh-CN"/>
        </w:rPr>
        <w:t>月</w:t>
      </w:r>
      <w:r>
        <w:rPr>
          <w:rFonts w:hint="eastAsia"/>
          <w:sz w:val="24"/>
          <w:szCs w:val="24"/>
          <w:highlight w:val="none"/>
          <w:u w:val="single"/>
          <w:lang w:val="en-US" w:eastAsia="zh-CN"/>
        </w:rPr>
        <w:t xml:space="preserve">    </w:t>
      </w:r>
      <w:r>
        <w:rPr>
          <w:rFonts w:hint="eastAsia"/>
          <w:sz w:val="24"/>
          <w:szCs w:val="24"/>
          <w:highlight w:val="none"/>
          <w:lang w:val="en-US" w:eastAsia="zh-CN"/>
        </w:rPr>
        <w:t>日</w:t>
      </w:r>
    </w:p>
    <w:sectPr>
      <w:footerReference r:id="rId3" w:type="default"/>
      <w:pgSz w:w="11906" w:h="16838"/>
      <w:pgMar w:top="850" w:right="1800" w:bottom="85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lNDc1ZTBhYmU0ZjM2YTI0YjYyMTJhZWUwNTcwYzMifQ=="/>
  </w:docVars>
  <w:rsids>
    <w:rsidRoot w:val="55590ADA"/>
    <w:rsid w:val="00A04941"/>
    <w:rsid w:val="00FB1955"/>
    <w:rsid w:val="01154E42"/>
    <w:rsid w:val="013D3B85"/>
    <w:rsid w:val="017E6F26"/>
    <w:rsid w:val="0180792C"/>
    <w:rsid w:val="019F619F"/>
    <w:rsid w:val="01C44C95"/>
    <w:rsid w:val="01E60E3C"/>
    <w:rsid w:val="0247556A"/>
    <w:rsid w:val="02C72207"/>
    <w:rsid w:val="03140DA8"/>
    <w:rsid w:val="039D7F56"/>
    <w:rsid w:val="03C75EB2"/>
    <w:rsid w:val="03E175A9"/>
    <w:rsid w:val="03F1578E"/>
    <w:rsid w:val="04C81C5E"/>
    <w:rsid w:val="0504228D"/>
    <w:rsid w:val="05595CE0"/>
    <w:rsid w:val="0561226D"/>
    <w:rsid w:val="057523EE"/>
    <w:rsid w:val="05837C3A"/>
    <w:rsid w:val="065B15E4"/>
    <w:rsid w:val="065B7836"/>
    <w:rsid w:val="067E5607"/>
    <w:rsid w:val="06C13B3D"/>
    <w:rsid w:val="06E16540"/>
    <w:rsid w:val="073064D9"/>
    <w:rsid w:val="07C876CD"/>
    <w:rsid w:val="082F261B"/>
    <w:rsid w:val="08684CE0"/>
    <w:rsid w:val="08844E22"/>
    <w:rsid w:val="09144C38"/>
    <w:rsid w:val="096B1B3E"/>
    <w:rsid w:val="098A5DEB"/>
    <w:rsid w:val="09C851E3"/>
    <w:rsid w:val="0AB21F41"/>
    <w:rsid w:val="0B03428F"/>
    <w:rsid w:val="0B3B4F9C"/>
    <w:rsid w:val="0B84338B"/>
    <w:rsid w:val="0BB61CF8"/>
    <w:rsid w:val="0BB7198C"/>
    <w:rsid w:val="0BE1369A"/>
    <w:rsid w:val="0BFF745A"/>
    <w:rsid w:val="0C2574F4"/>
    <w:rsid w:val="0CC04897"/>
    <w:rsid w:val="0CC376A4"/>
    <w:rsid w:val="0CE93A79"/>
    <w:rsid w:val="0D6472D1"/>
    <w:rsid w:val="0D8F7523"/>
    <w:rsid w:val="0DCD726B"/>
    <w:rsid w:val="0DD40279"/>
    <w:rsid w:val="0DE05E30"/>
    <w:rsid w:val="0E112E1B"/>
    <w:rsid w:val="0E327E66"/>
    <w:rsid w:val="0EC04C21"/>
    <w:rsid w:val="0F0F11BE"/>
    <w:rsid w:val="0F80551D"/>
    <w:rsid w:val="0FEB2E02"/>
    <w:rsid w:val="0FF42F92"/>
    <w:rsid w:val="104D6442"/>
    <w:rsid w:val="119A62E9"/>
    <w:rsid w:val="11B821A0"/>
    <w:rsid w:val="11BD3439"/>
    <w:rsid w:val="11DF608A"/>
    <w:rsid w:val="12602461"/>
    <w:rsid w:val="126D2DCB"/>
    <w:rsid w:val="127E0B34"/>
    <w:rsid w:val="12B44556"/>
    <w:rsid w:val="133B07D3"/>
    <w:rsid w:val="13DF1AA7"/>
    <w:rsid w:val="13E6604D"/>
    <w:rsid w:val="14AE7536"/>
    <w:rsid w:val="14E23DC7"/>
    <w:rsid w:val="1538441C"/>
    <w:rsid w:val="15571597"/>
    <w:rsid w:val="15DF7BB5"/>
    <w:rsid w:val="15F24B9E"/>
    <w:rsid w:val="16062A16"/>
    <w:rsid w:val="16404E79"/>
    <w:rsid w:val="166249BB"/>
    <w:rsid w:val="166A2B17"/>
    <w:rsid w:val="16726F3A"/>
    <w:rsid w:val="179D33A9"/>
    <w:rsid w:val="17B71124"/>
    <w:rsid w:val="1811244B"/>
    <w:rsid w:val="18C64FE3"/>
    <w:rsid w:val="193027E2"/>
    <w:rsid w:val="194B54E8"/>
    <w:rsid w:val="19A76768"/>
    <w:rsid w:val="1A50219B"/>
    <w:rsid w:val="1ABB680E"/>
    <w:rsid w:val="1ACF42F9"/>
    <w:rsid w:val="1AD26D37"/>
    <w:rsid w:val="1ADC289C"/>
    <w:rsid w:val="1B4B5C73"/>
    <w:rsid w:val="1B577D2D"/>
    <w:rsid w:val="1BED48F6"/>
    <w:rsid w:val="1C296277"/>
    <w:rsid w:val="1C2F4C4D"/>
    <w:rsid w:val="1C627E7C"/>
    <w:rsid w:val="1C9E3D80"/>
    <w:rsid w:val="1CDA72AF"/>
    <w:rsid w:val="1D022362"/>
    <w:rsid w:val="1DB01DBE"/>
    <w:rsid w:val="1DB45D52"/>
    <w:rsid w:val="1E2D6DEF"/>
    <w:rsid w:val="1E44152B"/>
    <w:rsid w:val="1EC4076B"/>
    <w:rsid w:val="1F0650CE"/>
    <w:rsid w:val="1F132E5C"/>
    <w:rsid w:val="1F87271F"/>
    <w:rsid w:val="1F9A79B8"/>
    <w:rsid w:val="1FB34278"/>
    <w:rsid w:val="1FD7579E"/>
    <w:rsid w:val="1FDC50EC"/>
    <w:rsid w:val="1FE766DA"/>
    <w:rsid w:val="1FF53625"/>
    <w:rsid w:val="20397E8F"/>
    <w:rsid w:val="20450EE3"/>
    <w:rsid w:val="208C6B12"/>
    <w:rsid w:val="208E297D"/>
    <w:rsid w:val="20AB775B"/>
    <w:rsid w:val="20F52909"/>
    <w:rsid w:val="21093CBF"/>
    <w:rsid w:val="212E7BC9"/>
    <w:rsid w:val="2165534F"/>
    <w:rsid w:val="21B53E47"/>
    <w:rsid w:val="220D028A"/>
    <w:rsid w:val="22E54AF6"/>
    <w:rsid w:val="23582CDC"/>
    <w:rsid w:val="23D83E1C"/>
    <w:rsid w:val="23EE5BE7"/>
    <w:rsid w:val="24443260"/>
    <w:rsid w:val="25324DCD"/>
    <w:rsid w:val="255B2F57"/>
    <w:rsid w:val="25A52913"/>
    <w:rsid w:val="25AE3087"/>
    <w:rsid w:val="25C51470"/>
    <w:rsid w:val="260E7FC9"/>
    <w:rsid w:val="26337C4D"/>
    <w:rsid w:val="26494987"/>
    <w:rsid w:val="267811D6"/>
    <w:rsid w:val="269A360B"/>
    <w:rsid w:val="269C61FA"/>
    <w:rsid w:val="26B24DF9"/>
    <w:rsid w:val="26FB054E"/>
    <w:rsid w:val="278A18D2"/>
    <w:rsid w:val="27B81F44"/>
    <w:rsid w:val="27C15667"/>
    <w:rsid w:val="27E5752B"/>
    <w:rsid w:val="28064EFA"/>
    <w:rsid w:val="281F7575"/>
    <w:rsid w:val="28420138"/>
    <w:rsid w:val="284B2CED"/>
    <w:rsid w:val="28C13CF8"/>
    <w:rsid w:val="28E60C03"/>
    <w:rsid w:val="290A2CCA"/>
    <w:rsid w:val="292B01C4"/>
    <w:rsid w:val="29373393"/>
    <w:rsid w:val="2AA1765E"/>
    <w:rsid w:val="2AFC7CED"/>
    <w:rsid w:val="2B8209DE"/>
    <w:rsid w:val="2BD84516"/>
    <w:rsid w:val="2C3F3C21"/>
    <w:rsid w:val="2C5B3C4C"/>
    <w:rsid w:val="2CA90A4C"/>
    <w:rsid w:val="2CAC2729"/>
    <w:rsid w:val="2CEE4D09"/>
    <w:rsid w:val="2D0F4D53"/>
    <w:rsid w:val="2D240BAC"/>
    <w:rsid w:val="2D3376D8"/>
    <w:rsid w:val="2DC07DFB"/>
    <w:rsid w:val="2DDE012D"/>
    <w:rsid w:val="2DE1756A"/>
    <w:rsid w:val="2DF45CF7"/>
    <w:rsid w:val="2E1369CC"/>
    <w:rsid w:val="2E623346"/>
    <w:rsid w:val="2ECA3355"/>
    <w:rsid w:val="2F366ED0"/>
    <w:rsid w:val="2F414F6C"/>
    <w:rsid w:val="2F47605F"/>
    <w:rsid w:val="2F515F41"/>
    <w:rsid w:val="2FD04090"/>
    <w:rsid w:val="2FD46A27"/>
    <w:rsid w:val="2FEB63D1"/>
    <w:rsid w:val="303B5F84"/>
    <w:rsid w:val="30471AB7"/>
    <w:rsid w:val="305F4F6B"/>
    <w:rsid w:val="30A9101A"/>
    <w:rsid w:val="30B33C47"/>
    <w:rsid w:val="30B67293"/>
    <w:rsid w:val="31A35A6A"/>
    <w:rsid w:val="31B954E7"/>
    <w:rsid w:val="31CD2AE7"/>
    <w:rsid w:val="32096215"/>
    <w:rsid w:val="3281224F"/>
    <w:rsid w:val="32A11968"/>
    <w:rsid w:val="32A945C3"/>
    <w:rsid w:val="333948D8"/>
    <w:rsid w:val="33793E0C"/>
    <w:rsid w:val="33B273BE"/>
    <w:rsid w:val="34050C5E"/>
    <w:rsid w:val="34056531"/>
    <w:rsid w:val="340918B2"/>
    <w:rsid w:val="344A2B14"/>
    <w:rsid w:val="34C06223"/>
    <w:rsid w:val="351D0320"/>
    <w:rsid w:val="356053EC"/>
    <w:rsid w:val="35933AB6"/>
    <w:rsid w:val="36AF1950"/>
    <w:rsid w:val="36B44275"/>
    <w:rsid w:val="36C20D6D"/>
    <w:rsid w:val="36F01751"/>
    <w:rsid w:val="371A4544"/>
    <w:rsid w:val="37394CB2"/>
    <w:rsid w:val="373E696E"/>
    <w:rsid w:val="377D6D5D"/>
    <w:rsid w:val="380A136E"/>
    <w:rsid w:val="382B67B9"/>
    <w:rsid w:val="3834566E"/>
    <w:rsid w:val="38476ED8"/>
    <w:rsid w:val="384D1B31"/>
    <w:rsid w:val="388574D7"/>
    <w:rsid w:val="38A86421"/>
    <w:rsid w:val="39761CB6"/>
    <w:rsid w:val="3976413E"/>
    <w:rsid w:val="39BF3D06"/>
    <w:rsid w:val="39E906DA"/>
    <w:rsid w:val="39F5707E"/>
    <w:rsid w:val="3A025723"/>
    <w:rsid w:val="3A8A4E0D"/>
    <w:rsid w:val="3AF85078"/>
    <w:rsid w:val="3B7E311A"/>
    <w:rsid w:val="3C3E3801"/>
    <w:rsid w:val="3D027E43"/>
    <w:rsid w:val="3D053AFF"/>
    <w:rsid w:val="3D5D28F2"/>
    <w:rsid w:val="3D7B52D3"/>
    <w:rsid w:val="3DED2C82"/>
    <w:rsid w:val="3E044471"/>
    <w:rsid w:val="3E38578C"/>
    <w:rsid w:val="3E630A5B"/>
    <w:rsid w:val="3E7D30AA"/>
    <w:rsid w:val="3EA6560B"/>
    <w:rsid w:val="3EB4331E"/>
    <w:rsid w:val="3ECB7E95"/>
    <w:rsid w:val="3F2301EA"/>
    <w:rsid w:val="407E2D7D"/>
    <w:rsid w:val="40B90E06"/>
    <w:rsid w:val="40F97C48"/>
    <w:rsid w:val="410C0680"/>
    <w:rsid w:val="412B36E9"/>
    <w:rsid w:val="41CC74A8"/>
    <w:rsid w:val="41F84467"/>
    <w:rsid w:val="42041029"/>
    <w:rsid w:val="421443CB"/>
    <w:rsid w:val="42295EB2"/>
    <w:rsid w:val="422B7713"/>
    <w:rsid w:val="422C63EE"/>
    <w:rsid w:val="425F3C2F"/>
    <w:rsid w:val="42890CAC"/>
    <w:rsid w:val="42955F29"/>
    <w:rsid w:val="437B18E6"/>
    <w:rsid w:val="43CA646B"/>
    <w:rsid w:val="45903938"/>
    <w:rsid w:val="45941E41"/>
    <w:rsid w:val="459B6D2C"/>
    <w:rsid w:val="459F4086"/>
    <w:rsid w:val="45FB77CB"/>
    <w:rsid w:val="469149E0"/>
    <w:rsid w:val="47C20EDB"/>
    <w:rsid w:val="48054931"/>
    <w:rsid w:val="48B25926"/>
    <w:rsid w:val="49D05807"/>
    <w:rsid w:val="4A2531C7"/>
    <w:rsid w:val="4AD77089"/>
    <w:rsid w:val="4AFF6578"/>
    <w:rsid w:val="4B977F95"/>
    <w:rsid w:val="4BE710ED"/>
    <w:rsid w:val="4CDD5E7C"/>
    <w:rsid w:val="4CE7337C"/>
    <w:rsid w:val="4D1D0E82"/>
    <w:rsid w:val="4D676C7B"/>
    <w:rsid w:val="4D993891"/>
    <w:rsid w:val="4E435C57"/>
    <w:rsid w:val="4E513743"/>
    <w:rsid w:val="4E591317"/>
    <w:rsid w:val="4EBB103B"/>
    <w:rsid w:val="4EF97262"/>
    <w:rsid w:val="4F302DF0"/>
    <w:rsid w:val="4F455F5A"/>
    <w:rsid w:val="4FAC0E3A"/>
    <w:rsid w:val="4FE623E8"/>
    <w:rsid w:val="50527605"/>
    <w:rsid w:val="507B5903"/>
    <w:rsid w:val="5107792A"/>
    <w:rsid w:val="51831A30"/>
    <w:rsid w:val="51CB1BE4"/>
    <w:rsid w:val="52DB51E3"/>
    <w:rsid w:val="52E93337"/>
    <w:rsid w:val="532F31A9"/>
    <w:rsid w:val="53D00039"/>
    <w:rsid w:val="53D22156"/>
    <w:rsid w:val="540B699E"/>
    <w:rsid w:val="54181E8F"/>
    <w:rsid w:val="543878E0"/>
    <w:rsid w:val="54D22B15"/>
    <w:rsid w:val="54F16968"/>
    <w:rsid w:val="55394541"/>
    <w:rsid w:val="55410DBD"/>
    <w:rsid w:val="555411D1"/>
    <w:rsid w:val="55590ADA"/>
    <w:rsid w:val="55B42F1C"/>
    <w:rsid w:val="565A678F"/>
    <w:rsid w:val="56D15DD1"/>
    <w:rsid w:val="56EB151E"/>
    <w:rsid w:val="578411E6"/>
    <w:rsid w:val="5818698A"/>
    <w:rsid w:val="58337302"/>
    <w:rsid w:val="583939C4"/>
    <w:rsid w:val="583A468D"/>
    <w:rsid w:val="587A4EC7"/>
    <w:rsid w:val="58884DDF"/>
    <w:rsid w:val="589B01C2"/>
    <w:rsid w:val="589E6E07"/>
    <w:rsid w:val="590B1FC3"/>
    <w:rsid w:val="594F1EAF"/>
    <w:rsid w:val="59657925"/>
    <w:rsid w:val="598F04FE"/>
    <w:rsid w:val="5A33357F"/>
    <w:rsid w:val="5A8F7A3A"/>
    <w:rsid w:val="5ACD3044"/>
    <w:rsid w:val="5AEC309D"/>
    <w:rsid w:val="5B6D486F"/>
    <w:rsid w:val="5B7B44B9"/>
    <w:rsid w:val="5BAC72C4"/>
    <w:rsid w:val="5C0A6562"/>
    <w:rsid w:val="5CBE5B3D"/>
    <w:rsid w:val="5CE84AF5"/>
    <w:rsid w:val="5CEE6B81"/>
    <w:rsid w:val="5D4B0BE0"/>
    <w:rsid w:val="5E5F67FA"/>
    <w:rsid w:val="5E9E44A2"/>
    <w:rsid w:val="5EF653BA"/>
    <w:rsid w:val="5F6146B0"/>
    <w:rsid w:val="604C0EF7"/>
    <w:rsid w:val="61371BA7"/>
    <w:rsid w:val="61665FE8"/>
    <w:rsid w:val="616D0E76"/>
    <w:rsid w:val="61897F29"/>
    <w:rsid w:val="61EB3338"/>
    <w:rsid w:val="622720EB"/>
    <w:rsid w:val="627209BD"/>
    <w:rsid w:val="62B363AF"/>
    <w:rsid w:val="62F273EA"/>
    <w:rsid w:val="632851E9"/>
    <w:rsid w:val="63AC61BF"/>
    <w:rsid w:val="63D95197"/>
    <w:rsid w:val="63ED479F"/>
    <w:rsid w:val="64074779"/>
    <w:rsid w:val="643A5574"/>
    <w:rsid w:val="65063D79"/>
    <w:rsid w:val="653B5967"/>
    <w:rsid w:val="65B6475E"/>
    <w:rsid w:val="65BC7646"/>
    <w:rsid w:val="65CA4555"/>
    <w:rsid w:val="66EE3661"/>
    <w:rsid w:val="66F43399"/>
    <w:rsid w:val="66FB71D3"/>
    <w:rsid w:val="677D5F20"/>
    <w:rsid w:val="67902011"/>
    <w:rsid w:val="686447F2"/>
    <w:rsid w:val="698A2A90"/>
    <w:rsid w:val="69DA57C5"/>
    <w:rsid w:val="6A5F22E4"/>
    <w:rsid w:val="6AF60B92"/>
    <w:rsid w:val="6B15282D"/>
    <w:rsid w:val="6BA308F1"/>
    <w:rsid w:val="6BB12141"/>
    <w:rsid w:val="6BDF3567"/>
    <w:rsid w:val="6BDF3A2B"/>
    <w:rsid w:val="6BFB7C75"/>
    <w:rsid w:val="6C123536"/>
    <w:rsid w:val="6C317875"/>
    <w:rsid w:val="6CB378E7"/>
    <w:rsid w:val="6CDE580B"/>
    <w:rsid w:val="6DF84DC4"/>
    <w:rsid w:val="6E13574A"/>
    <w:rsid w:val="6E3826DE"/>
    <w:rsid w:val="6EB41D50"/>
    <w:rsid w:val="6EE36C2C"/>
    <w:rsid w:val="6F440EC5"/>
    <w:rsid w:val="6F8866D3"/>
    <w:rsid w:val="6FA70487"/>
    <w:rsid w:val="6FB37C0A"/>
    <w:rsid w:val="6FCF744E"/>
    <w:rsid w:val="7000585A"/>
    <w:rsid w:val="70286453"/>
    <w:rsid w:val="70851EE2"/>
    <w:rsid w:val="70D95ACE"/>
    <w:rsid w:val="7161216A"/>
    <w:rsid w:val="718801FD"/>
    <w:rsid w:val="71C05CCC"/>
    <w:rsid w:val="71E7506F"/>
    <w:rsid w:val="7200274C"/>
    <w:rsid w:val="721B1C85"/>
    <w:rsid w:val="72D62859"/>
    <w:rsid w:val="72F71196"/>
    <w:rsid w:val="7395275D"/>
    <w:rsid w:val="740F250F"/>
    <w:rsid w:val="747C3A94"/>
    <w:rsid w:val="74806D71"/>
    <w:rsid w:val="75697206"/>
    <w:rsid w:val="757C3BD5"/>
    <w:rsid w:val="757F20E7"/>
    <w:rsid w:val="75D21A46"/>
    <w:rsid w:val="76291BD2"/>
    <w:rsid w:val="763077F0"/>
    <w:rsid w:val="76C90B70"/>
    <w:rsid w:val="76D90BB3"/>
    <w:rsid w:val="76D914DE"/>
    <w:rsid w:val="770D713F"/>
    <w:rsid w:val="77132317"/>
    <w:rsid w:val="77E3641A"/>
    <w:rsid w:val="77ED0DBA"/>
    <w:rsid w:val="78970D25"/>
    <w:rsid w:val="789E3E62"/>
    <w:rsid w:val="78C55892"/>
    <w:rsid w:val="78E46C92"/>
    <w:rsid w:val="79D40A02"/>
    <w:rsid w:val="79F14969"/>
    <w:rsid w:val="7A557D7A"/>
    <w:rsid w:val="7ADE726A"/>
    <w:rsid w:val="7AF05B67"/>
    <w:rsid w:val="7AF625DE"/>
    <w:rsid w:val="7B23675D"/>
    <w:rsid w:val="7C8D66C7"/>
    <w:rsid w:val="7C9C2DAE"/>
    <w:rsid w:val="7CC7347F"/>
    <w:rsid w:val="7CD97997"/>
    <w:rsid w:val="7DCC76C3"/>
    <w:rsid w:val="7DF90A89"/>
    <w:rsid w:val="7DFC494D"/>
    <w:rsid w:val="7E1846B6"/>
    <w:rsid w:val="7E355268"/>
    <w:rsid w:val="7EC304BC"/>
    <w:rsid w:val="7ECA696E"/>
    <w:rsid w:val="7F4E49C3"/>
    <w:rsid w:val="7FA06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w:basedOn w:val="1"/>
    <w:next w:val="1"/>
    <w:qFormat/>
    <w:uiPriority w:val="0"/>
    <w:pPr>
      <w:spacing w:after="120" w:afterLines="0" w:afterAutospacing="0"/>
    </w:pPr>
    <w:rPr>
      <w:rFonts w:asciiTheme="minorAscii" w:hAnsiTheme="minorAscii"/>
    </w:rPr>
  </w:style>
  <w:style w:type="paragraph" w:styleId="6">
    <w:name w:val="Body Text Indent"/>
    <w:basedOn w:val="1"/>
    <w:next w:val="1"/>
    <w:qFormat/>
    <w:uiPriority w:val="0"/>
    <w:pPr>
      <w:spacing w:line="360" w:lineRule="auto"/>
      <w:ind w:firstLine="570"/>
    </w:pPr>
    <w:rPr>
      <w:sz w:val="24"/>
    </w:rPr>
  </w:style>
  <w:style w:type="paragraph" w:styleId="7">
    <w:name w:val="toc 3"/>
    <w:basedOn w:val="1"/>
    <w:next w:val="1"/>
    <w:qFormat/>
    <w:uiPriority w:val="0"/>
    <w:pPr>
      <w:spacing w:line="240" w:lineRule="auto"/>
      <w:ind w:left="840" w:leftChars="400"/>
    </w:pPr>
    <w:rPr>
      <w:rFonts w:ascii="Calibri" w:hAnsi="Calibri" w:eastAsia="宋体"/>
      <w:sz w:val="24"/>
    </w:rPr>
  </w:style>
  <w:style w:type="paragraph" w:styleId="8">
    <w:name w:val="Plain Text"/>
    <w:basedOn w:val="1"/>
    <w:next w:val="4"/>
    <w:qFormat/>
    <w:uiPriority w:val="0"/>
    <w:rPr>
      <w:rFonts w:hint="eastAsia" w:ascii="宋体" w:hAnsi="Courier New"/>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12">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3">
    <w:name w:val="Body Text First Indent 2"/>
    <w:basedOn w:val="6"/>
    <w:qFormat/>
    <w:uiPriority w:val="0"/>
    <w:pPr>
      <w:spacing w:after="120" w:line="480" w:lineRule="exact"/>
      <w:ind w:left="420" w:leftChars="200" w:firstLine="420" w:firstLineChars="200"/>
    </w:pPr>
    <w:rPr>
      <w:szCs w:val="20"/>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1"/>
    <w:basedOn w:val="1"/>
    <w:next w:val="5"/>
    <w:qFormat/>
    <w:uiPriority w:val="0"/>
    <w:rPr>
      <w:rFonts w:hint="default" w:asciiTheme="minorAscii" w:hAnsiTheme="minorAscii"/>
    </w:rPr>
  </w:style>
  <w:style w:type="paragraph" w:customStyle="1" w:styleId="18">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19">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 w:type="paragraph" w:styleId="21">
    <w:name w:val="List Paragraph"/>
    <w:basedOn w:val="1"/>
    <w:qFormat/>
    <w:uiPriority w:val="0"/>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7258</Words>
  <Characters>7718</Characters>
  <Lines>0</Lines>
  <Paragraphs>0</Paragraphs>
  <TotalTime>17</TotalTime>
  <ScaleCrop>false</ScaleCrop>
  <LinksUpToDate>false</LinksUpToDate>
  <CharactersWithSpaces>8257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2023-07-10T00:33:00Z</dcterms:created>
  <dc:creator>汤丽华</dc:creator>
  <cp:lastModifiedBy>芥末是甜的</cp:lastModifiedBy>
  <cp:lastPrinted>2024-07-03T07:10:00Z</cp:lastPrinted>
  <dcterms:modified xsi:type="dcterms:W3CDTF">2024-07-03T09:56:13Z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9E64768FD9F14B599E784C66A85E4DC7_13</vt:lpwstr>
  </property>
</Properties>
</file>